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978"/>
        <w:gridCol w:w="1817"/>
        <w:gridCol w:w="1293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陕西圣瑞家具有限责任公司</w:t>
            </w:r>
            <w:bookmarkEnd w:id="4"/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0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冲压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折弯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除锈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喷涂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</w:t>
            </w:r>
            <w:r>
              <w:rPr>
                <w:rFonts w:hint="eastAsia" w:ascii="宋体" w:hAnsi="宋体"/>
                <w:sz w:val="21"/>
                <w:szCs w:val="21"/>
              </w:rPr>
              <w:t>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生产任务未按时完成，设备故障，工人操作不当，控制措施：生产和服务控制程序、设备操作规程、作业指导书；特殊过程为焊接、喷涂，是否从人员、设备、工艺等方面进行了确认。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外观、尺寸、零部件、安全性能等，符合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878205</wp:posOffset>
                  </wp:positionV>
                  <wp:extent cx="719455" cy="606425"/>
                  <wp:effectExtent l="0" t="0" r="4445" b="3175"/>
                  <wp:wrapNone/>
                  <wp:docPr id="1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2679065</wp:posOffset>
                  </wp:positionH>
                  <wp:positionV relativeFrom="paragraph">
                    <wp:posOffset>848360</wp:posOffset>
                  </wp:positionV>
                  <wp:extent cx="713740" cy="601345"/>
                  <wp:effectExtent l="0" t="0" r="10160" b="8255"/>
                  <wp:wrapNone/>
                  <wp:docPr id="2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2021.7.18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2021.7.18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C7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2021-07-18T07:05:58Z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C1ECEA6C613C4D9A92AA0E0DBD973E0F</vt:lpwstr>
  </property>
</Properties>
</file>