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7"/>
      </w:pP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09"/>
        <w:gridCol w:w="1039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涉及条款</w:t>
            </w: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部      主管领导：</w:t>
            </w:r>
            <w:r>
              <w:rPr>
                <w:rFonts w:hint="eastAsia" w:ascii="宋体" w:hAnsi="宋体"/>
                <w:sz w:val="24"/>
              </w:rPr>
              <w:t>樊文霞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付传茯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OHSMS:5.3组织的岗位、职责和权限、6.2职业健康安全目标、6.1.2危险源辨识与评价、6.1.4措施的策划、8.2应急准备和响应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QO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本部门现有人员1人；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本部门危险源识别和控制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质量、环境、职业健康安全目标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QO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：6.2</w:t>
            </w:r>
          </w:p>
        </w:tc>
        <w:tc>
          <w:tcPr>
            <w:tcW w:w="1039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查见本部门的目标：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建立合格供方，确保采购产品100%合格；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人员出差在外不发生交通事故；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办公场所垃圾分类处理率达100%。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制定“2021年度环境、安全目标完成计划”，对不可接受风险的控制措施进行了策划；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“目标分解考核表”显示对目标完成情况进行了半年考核，均完成。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环境因素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、危险源</w:t>
            </w:r>
            <w:r>
              <w:rPr>
                <w:rFonts w:hint="default" w:ascii="Times New Roman" w:hAnsi="Times New Roman" w:cs="Times New Roman"/>
                <w:szCs w:val="21"/>
              </w:rPr>
              <w:t>辨识与评价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9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</w:rPr>
              <w:t>6.1.2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6.1.4</w:t>
            </w:r>
          </w:p>
        </w:tc>
        <w:tc>
          <w:tcPr>
            <w:tcW w:w="10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查“危害辨识、风险评价、风险控制工作表”，识别了办公活动计算机运行、办公用电、驾驶、外来人员参观等过程中的危险源，主要包括触电、火灾、中暑、车辆伤害、机械伤害等。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查“不可接受风险清单”，评价出办公活动中的重大危险源包括：触电、火灾。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策划了控制措施——制定操作规程，交流。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209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3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公司策划了安全管理相关程序文件和管理制度：运行控制程序、消防控制程序、资源能源控制程序、应急准备和响应控制程序等；现场观察：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及展厅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0平方米，工作场所布局合理，座椅和办公桌符合人体工程学要求，员工有自我防护意识，工间能适当走动、休息；坐姿正确，避免过度疲劳；电脑显示器调整到保护视力的颜色；配置有适量的绿植，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945" w:type="dxa"/>
          </w:tcPr>
          <w:p>
            <w:pPr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应急准备和响应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O:</w:t>
            </w:r>
            <w:r>
              <w:rPr>
                <w:rFonts w:hint="default" w:ascii="Times New Roman" w:hAnsi="Times New Roman" w:cs="Times New Roman"/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见生产部审核记录。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209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szCs w:val="22"/>
                <w:lang w:val="en-US" w:eastAsia="zh-CN"/>
              </w:rPr>
              <w:t>Q：8.4</w:t>
            </w:r>
          </w:p>
        </w:tc>
        <w:tc>
          <w:tcPr>
            <w:tcW w:w="103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《合格供方名录》，主要供方如下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赣州市南康区华洲木业有限公司——中纤板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鑫兴富五金配件</w:t>
            </w:r>
            <w:r>
              <w:rPr>
                <w:rFonts w:hint="eastAsia"/>
                <w:color w:val="auto"/>
                <w:lang w:val="en-US" w:eastAsia="zh-CN"/>
              </w:rPr>
              <w:t>——</w:t>
            </w:r>
            <w:r>
              <w:rPr>
                <w:rFonts w:hint="default"/>
                <w:color w:val="auto"/>
                <w:lang w:val="en-US" w:eastAsia="zh-CN"/>
              </w:rPr>
              <w:t>五金配件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东莞市大伟化工实业有限公司</w:t>
            </w:r>
            <w:r>
              <w:rPr>
                <w:rFonts w:hint="eastAsia"/>
                <w:color w:val="auto"/>
                <w:lang w:val="en-US" w:eastAsia="zh-CN"/>
              </w:rPr>
              <w:t>——</w:t>
            </w:r>
            <w:r>
              <w:rPr>
                <w:rFonts w:hint="default"/>
                <w:color w:val="auto"/>
                <w:lang w:val="en-US" w:eastAsia="zh-CN"/>
              </w:rPr>
              <w:t>油漆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江西省南康怡然方泰家具有限公司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办公沙发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供方调查评定记录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抽见上述供应商评价表，显示供方对产品/服务质量的承诺：安全生产、质量第一；对工商注册文件及相关资质证明、生产设备、生产场地及环境设施、有长期可靠的设备和原料供应、通信和交通运输条件、接受我方质量保证条件要求、重合同、守信誉，有一定知名度、其他等进行了评价；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或者订单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查采购合同、订单等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1、购销合同——与赣州市南康区华洲木业有限公司签订；2021.5.7，中纤板；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2、送货单——</w:t>
            </w:r>
            <w:r>
              <w:rPr>
                <w:rFonts w:hint="default"/>
                <w:color w:val="auto"/>
                <w:lang w:val="en-US" w:eastAsia="zh-CN"/>
              </w:rPr>
              <w:t>东莞市大伟化工实业有限公司</w:t>
            </w:r>
            <w:r>
              <w:rPr>
                <w:rFonts w:hint="eastAsia"/>
                <w:color w:val="auto"/>
                <w:lang w:val="en-US" w:eastAsia="zh-CN"/>
              </w:rPr>
              <w:t>；2021.4.14，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PU面水、底水；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3、送货单——</w:t>
            </w:r>
            <w:r>
              <w:rPr>
                <w:rFonts w:hint="default"/>
                <w:color w:val="auto"/>
                <w:lang w:val="en-US" w:eastAsia="zh-CN"/>
              </w:rPr>
              <w:t>鑫兴富五金配件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；2021.6.16，双通等；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4、销售单——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江西省南康怡然方泰家具有限公司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——2021.2.25；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办公沙发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以上合同、送货单等</w:t>
            </w:r>
            <w:r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  <w:t>明确了产品名称、数量、规格型号、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质量、交货等信息；</w:t>
            </w:r>
          </w:p>
          <w:p>
            <w:pPr>
              <w:pStyle w:val="2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介绍说，合同签订前会经过评审，确认无误后签订，签字盖章；</w:t>
            </w:r>
          </w:p>
          <w:p>
            <w:pPr>
              <w:pStyle w:val="2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送货单等通过电话微信下单，等采购物资送到后，验收无误后，签字确认；</w:t>
            </w:r>
          </w:p>
          <w:p>
            <w:pPr>
              <w:pStyle w:val="2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未保留评审记录，交流。</w:t>
            </w:r>
          </w:p>
        </w:tc>
        <w:tc>
          <w:tcPr>
            <w:tcW w:w="945" w:type="dxa"/>
            <w:vAlign w:val="center"/>
          </w:tcPr>
          <w:p>
            <w:pPr>
              <w:spacing w:beforeLines="50" w:afterLines="5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3B1F"/>
    <w:rsid w:val="0013408C"/>
    <w:rsid w:val="001F7683"/>
    <w:rsid w:val="002212EE"/>
    <w:rsid w:val="002439E4"/>
    <w:rsid w:val="002A2A84"/>
    <w:rsid w:val="002B2B89"/>
    <w:rsid w:val="002B42FF"/>
    <w:rsid w:val="003A4A6E"/>
    <w:rsid w:val="00496B5B"/>
    <w:rsid w:val="004B2C62"/>
    <w:rsid w:val="00547DAF"/>
    <w:rsid w:val="00563D1E"/>
    <w:rsid w:val="005733CF"/>
    <w:rsid w:val="006C271F"/>
    <w:rsid w:val="00701533"/>
    <w:rsid w:val="008146C5"/>
    <w:rsid w:val="00817FD6"/>
    <w:rsid w:val="00855272"/>
    <w:rsid w:val="0085645B"/>
    <w:rsid w:val="008B1DEA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59DE"/>
    <w:rsid w:val="00EC1DC1"/>
    <w:rsid w:val="00F21CD0"/>
    <w:rsid w:val="00FB3892"/>
    <w:rsid w:val="00FE6316"/>
    <w:rsid w:val="036A7C27"/>
    <w:rsid w:val="04107752"/>
    <w:rsid w:val="046239E5"/>
    <w:rsid w:val="04FE5689"/>
    <w:rsid w:val="06AE357A"/>
    <w:rsid w:val="0867790E"/>
    <w:rsid w:val="0A9746FC"/>
    <w:rsid w:val="0AD713C8"/>
    <w:rsid w:val="0B7B2146"/>
    <w:rsid w:val="0BC24423"/>
    <w:rsid w:val="0CBB438C"/>
    <w:rsid w:val="0EA219BA"/>
    <w:rsid w:val="10AD7070"/>
    <w:rsid w:val="12952C53"/>
    <w:rsid w:val="13446264"/>
    <w:rsid w:val="13822C9D"/>
    <w:rsid w:val="13B72F06"/>
    <w:rsid w:val="13F61BEF"/>
    <w:rsid w:val="153C5261"/>
    <w:rsid w:val="179562F7"/>
    <w:rsid w:val="17BB7A8D"/>
    <w:rsid w:val="18045CC5"/>
    <w:rsid w:val="18EB18FF"/>
    <w:rsid w:val="19A50894"/>
    <w:rsid w:val="1A517658"/>
    <w:rsid w:val="1AEA5CE2"/>
    <w:rsid w:val="1C6A2829"/>
    <w:rsid w:val="1C975495"/>
    <w:rsid w:val="1D4E17BC"/>
    <w:rsid w:val="1E042027"/>
    <w:rsid w:val="1E26790C"/>
    <w:rsid w:val="1F5650AE"/>
    <w:rsid w:val="1F9B666F"/>
    <w:rsid w:val="204545DD"/>
    <w:rsid w:val="20DF1F50"/>
    <w:rsid w:val="211A77A2"/>
    <w:rsid w:val="22C41E53"/>
    <w:rsid w:val="24EB46DF"/>
    <w:rsid w:val="257B232D"/>
    <w:rsid w:val="25C73C23"/>
    <w:rsid w:val="260857A9"/>
    <w:rsid w:val="260B6214"/>
    <w:rsid w:val="260B7CF7"/>
    <w:rsid w:val="26175025"/>
    <w:rsid w:val="2BC67471"/>
    <w:rsid w:val="2C543EF4"/>
    <w:rsid w:val="2C865FE6"/>
    <w:rsid w:val="2DBE274C"/>
    <w:rsid w:val="2E5F1B67"/>
    <w:rsid w:val="2F580018"/>
    <w:rsid w:val="2F812C46"/>
    <w:rsid w:val="2FD13556"/>
    <w:rsid w:val="2FF14166"/>
    <w:rsid w:val="303F68CD"/>
    <w:rsid w:val="30852424"/>
    <w:rsid w:val="30DB01ED"/>
    <w:rsid w:val="31537CBD"/>
    <w:rsid w:val="31C71069"/>
    <w:rsid w:val="332C4B6D"/>
    <w:rsid w:val="34E46ECE"/>
    <w:rsid w:val="374B5A6C"/>
    <w:rsid w:val="37E2184A"/>
    <w:rsid w:val="384843E6"/>
    <w:rsid w:val="38D6530D"/>
    <w:rsid w:val="38F3666F"/>
    <w:rsid w:val="396D56E5"/>
    <w:rsid w:val="399454D1"/>
    <w:rsid w:val="39D230CE"/>
    <w:rsid w:val="3C31409B"/>
    <w:rsid w:val="3C44158C"/>
    <w:rsid w:val="3C730BF4"/>
    <w:rsid w:val="3E6B5E5A"/>
    <w:rsid w:val="3F5855ED"/>
    <w:rsid w:val="3FEC002C"/>
    <w:rsid w:val="4159323F"/>
    <w:rsid w:val="41621B3E"/>
    <w:rsid w:val="41B16CBD"/>
    <w:rsid w:val="42072E45"/>
    <w:rsid w:val="420929D1"/>
    <w:rsid w:val="42214DB6"/>
    <w:rsid w:val="423609B8"/>
    <w:rsid w:val="42BA6D87"/>
    <w:rsid w:val="43986911"/>
    <w:rsid w:val="43A26F9E"/>
    <w:rsid w:val="440B5536"/>
    <w:rsid w:val="46591E1A"/>
    <w:rsid w:val="47E56361"/>
    <w:rsid w:val="48C27124"/>
    <w:rsid w:val="48FA6233"/>
    <w:rsid w:val="49091AF4"/>
    <w:rsid w:val="49CD10CA"/>
    <w:rsid w:val="4AA83D47"/>
    <w:rsid w:val="4CF11AF1"/>
    <w:rsid w:val="4DA96531"/>
    <w:rsid w:val="4E2E3D3D"/>
    <w:rsid w:val="4E7E2E7D"/>
    <w:rsid w:val="50C43941"/>
    <w:rsid w:val="521A1A65"/>
    <w:rsid w:val="52AB45CA"/>
    <w:rsid w:val="53A464FF"/>
    <w:rsid w:val="53B31476"/>
    <w:rsid w:val="53C14F3D"/>
    <w:rsid w:val="5514640E"/>
    <w:rsid w:val="56A21FD2"/>
    <w:rsid w:val="56B27B7D"/>
    <w:rsid w:val="573A5AE9"/>
    <w:rsid w:val="582F698C"/>
    <w:rsid w:val="5A3159AB"/>
    <w:rsid w:val="5A4D1ABD"/>
    <w:rsid w:val="5BB1295D"/>
    <w:rsid w:val="5D51133E"/>
    <w:rsid w:val="5EA01E07"/>
    <w:rsid w:val="5EF4791D"/>
    <w:rsid w:val="5FD25142"/>
    <w:rsid w:val="60070CDE"/>
    <w:rsid w:val="600A0D8E"/>
    <w:rsid w:val="60154E6E"/>
    <w:rsid w:val="60ED5FD6"/>
    <w:rsid w:val="61155F29"/>
    <w:rsid w:val="61C94E04"/>
    <w:rsid w:val="61D21D8A"/>
    <w:rsid w:val="629168E1"/>
    <w:rsid w:val="62940BC1"/>
    <w:rsid w:val="63896D70"/>
    <w:rsid w:val="638A0F62"/>
    <w:rsid w:val="64F50DF6"/>
    <w:rsid w:val="65190BE7"/>
    <w:rsid w:val="65614ECA"/>
    <w:rsid w:val="65AE00A5"/>
    <w:rsid w:val="66813253"/>
    <w:rsid w:val="689917A4"/>
    <w:rsid w:val="6A7334B3"/>
    <w:rsid w:val="6B9572C0"/>
    <w:rsid w:val="6B9A0B88"/>
    <w:rsid w:val="6BA8048A"/>
    <w:rsid w:val="6E407809"/>
    <w:rsid w:val="6E872E96"/>
    <w:rsid w:val="6E9F1049"/>
    <w:rsid w:val="70356342"/>
    <w:rsid w:val="7344729D"/>
    <w:rsid w:val="745C7F2B"/>
    <w:rsid w:val="762043BC"/>
    <w:rsid w:val="793F4294"/>
    <w:rsid w:val="7C7125DF"/>
    <w:rsid w:val="7DD96873"/>
    <w:rsid w:val="7E910858"/>
    <w:rsid w:val="7F2349E4"/>
    <w:rsid w:val="7FF62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link w:val="18"/>
    <w:unhideWhenUsed/>
    <w:qFormat/>
    <w:uiPriority w:val="99"/>
    <w:pPr>
      <w:ind w:firstLine="420"/>
    </w:pPr>
    <w:rPr>
      <w:szCs w:val="21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正文文本缩进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占位符文本1"/>
    <w:semiHidden/>
    <w:qFormat/>
    <w:uiPriority w:val="99"/>
    <w:rPr>
      <w:color w:val="808080"/>
    </w:rPr>
  </w:style>
  <w:style w:type="character" w:customStyle="1" w:styleId="21">
    <w:name w:val="占位符文本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55</Pages>
  <Words>5236</Words>
  <Characters>29847</Characters>
  <Lines>248</Lines>
  <Paragraphs>70</Paragraphs>
  <TotalTime>28</TotalTime>
  <ScaleCrop>false</ScaleCrop>
  <LinksUpToDate>false</LinksUpToDate>
  <CharactersWithSpaces>35013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2021-07-30T05:34:57Z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