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8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9"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受审核</w:t>
            </w:r>
            <w:r>
              <w:rPr>
                <w:rFonts w:hint="eastAsia" w:ascii="宋体" w:hAnsi="宋体" w:eastAsia="宋体" w:cs="宋体"/>
                <w:color w:val="auto"/>
                <w:sz w:val="24"/>
                <w:szCs w:val="24"/>
                <w:lang w:val="en-US" w:eastAsia="zh-CN"/>
              </w:rPr>
              <w:t>部门：</w:t>
            </w:r>
            <w:r>
              <w:rPr>
                <w:rFonts w:hint="eastAsia" w:ascii="宋体" w:hAnsi="宋体" w:cs="宋体"/>
                <w:color w:val="auto"/>
                <w:sz w:val="24"/>
                <w:szCs w:val="24"/>
                <w:lang w:val="en-US" w:eastAsia="zh-CN"/>
              </w:rPr>
              <w:t>综合部/财务部</w:t>
            </w:r>
            <w:r>
              <w:rPr>
                <w:rFonts w:hint="eastAsia" w:ascii="宋体" w:hAnsi="宋体" w:eastAsia="宋体" w:cs="宋体"/>
                <w:color w:val="auto"/>
                <w:sz w:val="24"/>
                <w:szCs w:val="24"/>
                <w:lang w:val="en-US" w:eastAsia="zh-CN"/>
              </w:rPr>
              <w:t xml:space="preserve">       主管领导：</w:t>
            </w:r>
            <w:r>
              <w:rPr>
                <w:rFonts w:hint="eastAsia"/>
                <w:lang w:val="en-US" w:eastAsia="zh-CN"/>
              </w:rPr>
              <w:t>何鑫梅</w:t>
            </w:r>
            <w:r>
              <w:rPr>
                <w:rFonts w:hint="eastAsia" w:ascii="宋体" w:hAnsi="宋体" w:eastAsia="宋体" w:cs="宋体"/>
                <w:color w:val="auto"/>
                <w:sz w:val="24"/>
                <w:szCs w:val="24"/>
                <w:lang w:val="en-US" w:eastAsia="zh-CN"/>
              </w:rPr>
              <w:t xml:space="preserve">      陪同人员：</w:t>
            </w:r>
            <w:r>
              <w:rPr>
                <w:rFonts w:hint="eastAsia"/>
                <w:lang w:val="en-US" w:eastAsia="zh-CN"/>
              </w:rPr>
              <w:t>吴国芳</w:t>
            </w:r>
          </w:p>
        </w:tc>
        <w:tc>
          <w:tcPr>
            <w:tcW w:w="110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89"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  </w:t>
            </w:r>
            <w:r>
              <w:rPr>
                <w:rFonts w:hint="eastAsia" w:cs="Times New Roman"/>
                <w:sz w:val="24"/>
                <w:szCs w:val="24"/>
                <w:lang w:val="en-US" w:eastAsia="zh-CN"/>
              </w:rPr>
              <w:t>李京田</w:t>
            </w:r>
            <w:r>
              <w:rPr>
                <w:rFonts w:hint="eastAsia" w:ascii="Times New Roman" w:hAnsi="Times New Roman" w:eastAsia="宋体" w:cs="Times New Roman"/>
                <w:sz w:val="24"/>
                <w:szCs w:val="24"/>
                <w:lang w:val="en-US" w:eastAsia="zh-CN"/>
              </w:rPr>
              <w:t xml:space="preserve">         </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审核</w:t>
            </w:r>
            <w:r>
              <w:rPr>
                <w:rFonts w:hint="eastAsia" w:ascii="宋体" w:hAnsi="宋体" w:eastAsia="宋体" w:cs="宋体"/>
                <w:sz w:val="24"/>
                <w:szCs w:val="24"/>
              </w:rPr>
              <w:t>时间：</w:t>
            </w:r>
            <w:r>
              <w:rPr>
                <w:rFonts w:hint="eastAsia" w:ascii="宋体" w:hAnsi="宋体" w:cs="宋体"/>
                <w:sz w:val="24"/>
                <w:szCs w:val="24"/>
                <w:lang w:val="en-US" w:eastAsia="zh-CN"/>
              </w:rPr>
              <w:t>2021.7.30</w:t>
            </w: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89" w:type="dxa"/>
            <w:vAlign w:val="center"/>
          </w:tcPr>
          <w:p>
            <w:pPr>
              <w:rPr>
                <w:rFonts w:hint="eastAsia" w:ascii="宋体" w:hAnsi="宋体" w:eastAsia="宋体" w:cs="宋体"/>
                <w:color w:val="auto"/>
                <w:sz w:val="24"/>
                <w:szCs w:val="24"/>
                <w:lang w:val="en-US" w:eastAsia="zh-CN"/>
              </w:rPr>
            </w:pPr>
            <w:r>
              <w:rPr>
                <w:rFonts w:hint="eastAsia" w:ascii="Times New Roman" w:hAnsi="Times New Roman" w:eastAsia="宋体" w:cs="Times New Roman"/>
                <w:sz w:val="24"/>
                <w:szCs w:val="24"/>
              </w:rPr>
              <w:t>审核条款</w:t>
            </w:r>
            <w:r>
              <w:rPr>
                <w:rFonts w:hint="eastAsia" w:ascii="宋体" w:hAnsi="宋体" w:eastAsia="宋体" w:cs="宋体"/>
                <w:color w:val="auto"/>
                <w:sz w:val="24"/>
                <w:szCs w:val="24"/>
                <w:lang w:val="en-US" w:eastAsia="zh-CN"/>
              </w:rPr>
              <w:t xml:space="preserve">：5.3/6.2/7.2/7.3/7.4/7.5/8.1/9.1.2/9.2/10.1  </w:t>
            </w:r>
          </w:p>
          <w:p>
            <w:pPr>
              <w:rPr>
                <w:rFonts w:hint="eastAsia" w:ascii="Times New Roman" w:hAnsi="Times New Roman" w:eastAsia="宋体" w:cs="Times New Roman"/>
                <w:sz w:val="24"/>
                <w:szCs w:val="24"/>
                <w:lang w:val="en-US" w:eastAsia="zh-CN"/>
              </w:rPr>
            </w:pPr>
            <w:r>
              <w:rPr>
                <w:rFonts w:hint="eastAsia" w:ascii="宋体" w:hAnsi="宋体" w:eastAsia="宋体" w:cs="宋体"/>
                <w:color w:val="auto"/>
                <w:sz w:val="24"/>
                <w:szCs w:val="24"/>
                <w:lang w:val="en-US" w:eastAsia="zh-CN"/>
              </w:rPr>
              <w:t>职责和权限、目标指标方案、人员培训意识、沟通、成文信息、 运行控制、合规性评价、 内审、 不符合及纠正措施</w:t>
            </w: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1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组织的岗位、职责和权限</w:t>
            </w:r>
          </w:p>
          <w:p>
            <w:pPr>
              <w:numPr>
                <w:ilvl w:val="0"/>
                <w:numId w:val="0"/>
              </w:numPr>
              <w:rPr>
                <w:rFonts w:hint="eastAsia" w:ascii="宋体" w:hAnsi="宋体" w:eastAsia="宋体" w:cs="宋体"/>
                <w:color w:val="auto"/>
                <w:sz w:val="24"/>
                <w:szCs w:val="24"/>
                <w:lang w:val="en-US" w:eastAsia="zh-CN"/>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5.3 </w:t>
            </w:r>
          </w:p>
          <w:p>
            <w:pPr>
              <w:rPr>
                <w:rFonts w:hint="eastAsia" w:ascii="宋体" w:hAnsi="宋体" w:eastAsia="宋体" w:cs="宋体"/>
                <w:color w:val="auto"/>
                <w:sz w:val="24"/>
                <w:szCs w:val="24"/>
                <w:lang w:val="en-US" w:eastAsia="zh-CN"/>
              </w:rPr>
            </w:pPr>
          </w:p>
        </w:tc>
        <w:tc>
          <w:tcPr>
            <w:tcW w:w="10489" w:type="dxa"/>
            <w:vAlign w:val="top"/>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询问部门主要负责人：</w:t>
            </w:r>
            <w:r>
              <w:rPr>
                <w:rFonts w:hint="eastAsia"/>
                <w:lang w:val="en-US" w:eastAsia="zh-CN"/>
              </w:rPr>
              <w:t>何鑫梅</w:t>
            </w:r>
            <w:r>
              <w:rPr>
                <w:rFonts w:hint="eastAsia" w:ascii="宋体" w:hAnsi="宋体" w:eastAsia="宋体" w:cs="宋体"/>
                <w:color w:val="auto"/>
                <w:sz w:val="24"/>
                <w:szCs w:val="24"/>
                <w:lang w:val="en-US" w:eastAsia="zh-CN"/>
              </w:rPr>
              <w:t xml:space="preserve"> </w:t>
            </w:r>
            <w:r>
              <w:rPr>
                <w:rFonts w:hint="eastAsia"/>
              </w:rPr>
              <w:t xml:space="preserve">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主要工作内容和职责权限：</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负责贯彻落实国家发布的节能方针、政策、法律、法规、标准及规定，公司编制实施公司节能规划及年度计划。公司、搜集、存档能源管理方面的法律法规文件，并定期评价对适用法律法规和其他要求的遵守情况。整理、收集节能新技术、新设备及新能源和再生能源有效利用方面的信息，并及时以书面的形式向上级领导反映。公司制订本公司节能目标、指标、管理方案和应急预案。负责节能小组的建立并公司课题试验，整理、汇总课题研究的成果。负责新、改、扩项目及替换、改造对能源利用有重要影响的设施、设备时的节能评估论证。负责了解、收集国内外节能动态，推荐使用节能新技术、新工艺、新设备、新材料。负责公司生产工艺节能技术改造的论证和验收。负责公司能源监督工作，配合上级能源综合部门对公司进行能源利用监测、检查。负责制定公司主要节能管理制度，进行公司节能目标管理。负责公司能源管理人员和主要耗能设备操作人员参加上级部门的节能培训，负责进行公司内部的节能学习培训计划的编制、落实和检查。负责公司的能源统计和上报工作。负责能源管理内外部信息的交流及外来文件的接收、传递、控制等工作。制定内审、评审计划方案，公司好能源管理体系管理评审，协助管理者代表就能源管理体系运行状况、改进措施和建议，确保体系的正常运行。能源管理体系的文件归口综合部门，负责公司编制管理手册及相关文件的发布等工作。每月对各部门管理目标完成情况进行绩效考核，并考核电、汽消耗情况等；</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目标，能源指标及其实现的策划</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tc>
        <w:tc>
          <w:tcPr>
            <w:tcW w:w="9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6.2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tc>
        <w:tc>
          <w:tcPr>
            <w:tcW w:w="10489"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提供《公司及各部门能源目标考核汇总表》</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本部门目标“体系运行检查100%、文件受控率100%、内审完成100%、人员需求率达标95%以上”；</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查本部门2020年考核结果100% 合格；</w:t>
            </w:r>
          </w:p>
          <w:p>
            <w:pPr>
              <w:numPr>
                <w:ilvl w:val="0"/>
                <w:numId w:val="0"/>
              </w:numPr>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2021年和2020年目标一样、2021年至今目标</w:t>
            </w:r>
            <w:r>
              <w:rPr>
                <w:rFonts w:hint="eastAsia" w:ascii="宋体" w:hAnsi="宋体" w:eastAsia="宋体" w:cs="宋体"/>
                <w:color w:val="auto"/>
                <w:sz w:val="24"/>
                <w:szCs w:val="24"/>
                <w:lang w:val="en-US" w:eastAsia="zh-CN"/>
              </w:rPr>
              <w:t>完成</w:t>
            </w:r>
            <w:r>
              <w:rPr>
                <w:rFonts w:hint="default" w:ascii="宋体" w:hAnsi="宋体" w:eastAsia="宋体" w:cs="宋体"/>
                <w:color w:val="auto"/>
                <w:sz w:val="24"/>
                <w:szCs w:val="24"/>
                <w:lang w:val="en-US" w:eastAsia="zh-CN"/>
              </w:rPr>
              <w:t>情况符合规定</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日常办公注意节水节电、节约柴汽油及其他办公耗材的消耗、避免不必要的浪费；</w:t>
            </w:r>
          </w:p>
        </w:tc>
        <w:tc>
          <w:tcPr>
            <w:tcW w:w="1100" w:type="dxa"/>
            <w:vAlign w:val="top"/>
          </w:tcPr>
          <w:p>
            <w:r>
              <w:rPr>
                <w:rFonts w:hint="eastAsia" w:ascii="宋体" w:hAnsi="宋体" w:cs="宋体"/>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center"/>
          </w:tcPr>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人员、能力、培训</w:t>
            </w:r>
          </w:p>
        </w:tc>
        <w:tc>
          <w:tcPr>
            <w:tcW w:w="960" w:type="dxa"/>
            <w:vAlign w:val="center"/>
          </w:tcPr>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7.2</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7.3</w:t>
            </w:r>
          </w:p>
          <w:p>
            <w:pPr>
              <w:numPr>
                <w:ilvl w:val="0"/>
                <w:numId w:val="0"/>
              </w:numPr>
              <w:rPr>
                <w:rFonts w:hint="default" w:ascii="宋体" w:hAnsi="宋体" w:eastAsia="宋体" w:cs="宋体"/>
                <w:color w:val="auto"/>
                <w:sz w:val="24"/>
                <w:szCs w:val="24"/>
                <w:lang w:val="en-US" w:eastAsia="zh-CN"/>
              </w:rPr>
            </w:pPr>
          </w:p>
        </w:tc>
        <w:tc>
          <w:tcPr>
            <w:tcW w:w="10489" w:type="dxa"/>
            <w:vAlign w:val="center"/>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在手册中，对企业在职人员进行了人员能力与意识的要求，编制《能力、意识、培训控制程序》和《岗位描述书》，规定了控制要求。对企业的人力资源的培养和发展等作出规定，专业技术人员、特种作业人员等人力资源作出了规划。部门又根据自己部门的特点提供《绩效考核规定》，对员工的绩效进行考核，并与员工的工资相挂钩，查2020年12月的考核记录，考核结果基本达成设定的目标值，考核基本与办法保持一致。《岗位描述书》对总经理、管代、内审员、销售员等岗位人员的任职要求从能力、意识、学历、经历、技能等方面作出规定。</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w:t>
            </w:r>
            <w:r>
              <w:rPr>
                <w:rFonts w:hint="eastAsia"/>
                <w:lang w:val="en-US" w:eastAsia="zh-CN"/>
              </w:rPr>
              <w:t>张培贵、梁坡丰、吴国芳</w:t>
            </w:r>
            <w:r>
              <w:rPr>
                <w:rFonts w:hint="eastAsia" w:ascii="宋体" w:hAnsi="宋体" w:eastAsia="宋体" w:cs="宋体"/>
                <w:color w:val="auto"/>
                <w:sz w:val="24"/>
                <w:szCs w:val="24"/>
                <w:lang w:val="en-US" w:eastAsia="zh-CN"/>
              </w:rPr>
              <w:t>等均满足任职要求。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根据企业发展规划、现状及各部门意见，人力资源部制定年度培训计划，提供《202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年培训计划》</w:t>
            </w:r>
            <w:r>
              <w:rPr>
                <w:rFonts w:hint="eastAsia" w:ascii="宋体" w:hAnsi="宋体" w:cs="宋体"/>
                <w:color w:val="auto"/>
                <w:sz w:val="24"/>
                <w:szCs w:val="24"/>
                <w:lang w:val="en-US" w:eastAsia="zh-CN"/>
              </w:rPr>
              <w:t>5项</w:t>
            </w:r>
            <w:r>
              <w:rPr>
                <w:rFonts w:hint="eastAsia" w:ascii="宋体" w:hAnsi="宋体" w:eastAsia="宋体" w:cs="宋体"/>
                <w:color w:val="auto"/>
                <w:sz w:val="24"/>
                <w:szCs w:val="24"/>
                <w:lang w:val="en-US" w:eastAsia="zh-CN"/>
              </w:rPr>
              <w:t>，有培训记录、受培训部门参加培训人员培训方式培训内容考核方式等内容，显示安排标准、管理手册和程序、法律法规和其他要求、方针、节能、环境因素和关键特殊施工过程控制培训、意识教育、新员工等培训。编制综合部 ，审核</w:t>
            </w:r>
            <w:r>
              <w:rPr>
                <w:rFonts w:hint="eastAsia"/>
                <w:lang w:val="en-US" w:eastAsia="zh-CN"/>
              </w:rPr>
              <w:t>梁坡丰</w:t>
            </w:r>
            <w:r>
              <w:rPr>
                <w:rFonts w:hint="eastAsia"/>
                <w:lang w:val="en-US" w:eastAsia="zh-CN"/>
              </w:rPr>
              <w:tab/>
            </w:r>
            <w:r>
              <w:rPr>
                <w:rFonts w:hint="eastAsia" w:ascii="宋体" w:hAnsi="宋体" w:eastAsia="宋体" w:cs="宋体"/>
                <w:color w:val="auto"/>
                <w:sz w:val="24"/>
                <w:szCs w:val="24"/>
                <w:lang w:val="en-US" w:eastAsia="zh-CN"/>
              </w:rPr>
              <w:t xml:space="preserve"> ，批准 </w:t>
            </w:r>
            <w:r>
              <w:rPr>
                <w:rFonts w:hint="eastAsia"/>
                <w:lang w:val="en-US" w:eastAsia="zh-CN"/>
              </w:rPr>
              <w:t>葛有民</w:t>
            </w:r>
            <w:r>
              <w:rPr>
                <w:rFonts w:hint="eastAsia" w:ascii="宋体" w:hAnsi="宋体" w:eastAsia="宋体" w:cs="宋体"/>
                <w:color w:val="auto"/>
                <w:sz w:val="24"/>
                <w:szCs w:val="24"/>
                <w:lang w:val="en-US" w:eastAsia="zh-CN"/>
              </w:rPr>
              <w:t>，日期：</w:t>
            </w:r>
            <w:r>
              <w:rPr>
                <w:rFonts w:hint="eastAsia" w:ascii="宋体" w:hAnsi="宋体" w:cs="宋体"/>
                <w:color w:val="auto"/>
                <w:sz w:val="24"/>
                <w:szCs w:val="24"/>
                <w:lang w:val="en-US" w:eastAsia="zh-CN"/>
              </w:rPr>
              <w:t>2021.1.4</w:t>
            </w:r>
            <w:r>
              <w:rPr>
                <w:rFonts w:hint="eastAsia" w:ascii="宋体" w:hAnsi="宋体" w:eastAsia="宋体" w:cs="宋体"/>
                <w:color w:val="auto"/>
                <w:sz w:val="24"/>
                <w:szCs w:val="24"/>
                <w:lang w:val="en-US" w:eastAsia="zh-CN"/>
              </w:rPr>
              <w:t>。</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培训题目：管理手册及程序文件等文件培训；法律法规常识等，实施En管理体系的意义。向全体员工讲解贯彻标准的意义。并在培训结束后策划本公司管理体系的建立、实施过程。学习手册、程序文件编写格式。培训地点：会议室。</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抽1：202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月14日，在会议室进行了管理体系内审员培训，参加人员</w:t>
            </w:r>
            <w:r>
              <w:rPr>
                <w:rFonts w:hint="eastAsia"/>
                <w:lang w:val="en-US" w:eastAsia="zh-CN"/>
              </w:rPr>
              <w:t>张培贵、梁坡丰、吴国芳</w:t>
            </w:r>
            <w:r>
              <w:rPr>
                <w:rFonts w:hint="eastAsia" w:ascii="宋体" w:hAnsi="宋体" w:eastAsia="宋体" w:cs="宋体"/>
                <w:color w:val="auto"/>
                <w:sz w:val="24"/>
                <w:szCs w:val="24"/>
                <w:lang w:val="en-US" w:eastAsia="zh-CN"/>
              </w:rPr>
              <w:t>；培训效果评价  达到预期效果。评价人：刘老师。</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抽2培训时间：202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 xml:space="preserve"> .3.10，培训人刘老师，培训人员：全体等 。培训有效性评价：培训内容：</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ISO50001：2018标准知识、概念培训，培训取得预期效果。评价人：刘老师。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抽3、202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1培训记录：管理手册、程序文件培训。培训取得预期效果。参加人员：全体。训有效性评价：培训取得预期效果。评价人：刘老师。</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提供2021年工人培训实施方案、相应的培训记录，及人员签到表和培训效果评价。</w:t>
            </w:r>
          </w:p>
          <w:p>
            <w:pPr>
              <w:spacing w:line="360" w:lineRule="auto"/>
              <w:rPr>
                <w:rFonts w:hint="eastAsia" w:ascii="宋体" w:hAnsi="宋体" w:cs="宋体"/>
                <w:color w:val="FF0000"/>
                <w:sz w:val="24"/>
                <w:szCs w:val="24"/>
                <w:lang w:val="en-US" w:eastAsia="zh-CN"/>
              </w:rPr>
            </w:pPr>
          </w:p>
          <w:p>
            <w:pPr>
              <w:spacing w:line="360" w:lineRule="auto"/>
              <w:rPr>
                <w:rFonts w:hint="default"/>
                <w:color w:val="FF0000"/>
                <w:lang w:val="en-US" w:eastAsia="zh-CN"/>
              </w:rPr>
            </w:pPr>
            <w:bookmarkStart w:id="0" w:name="_GoBack"/>
            <w:r>
              <w:rPr>
                <w:rFonts w:hint="eastAsia" w:ascii="宋体" w:hAnsi="宋体" w:cs="宋体"/>
                <w:color w:val="FF0000"/>
                <w:sz w:val="24"/>
                <w:szCs w:val="24"/>
                <w:lang w:val="en-US" w:eastAsia="zh-CN"/>
              </w:rPr>
              <w:t>未提供国标“</w:t>
            </w:r>
            <w:r>
              <w:rPr>
                <w:rFonts w:hint="default" w:ascii="宋体" w:hAnsi="宋体" w:eastAsia="宋体" w:cs="宋体"/>
                <w:color w:val="FF0000"/>
                <w:kern w:val="2"/>
                <w:sz w:val="24"/>
                <w:szCs w:val="24"/>
                <w:lang w:val="en-US" w:eastAsia="zh-CN" w:bidi="zh-CN"/>
              </w:rPr>
              <w:t>GB 29435-2012 稀土冶炼加工企业单位产品能源消耗限额</w:t>
            </w:r>
            <w:r>
              <w:rPr>
                <w:rFonts w:hint="eastAsia" w:ascii="宋体" w:hAnsi="宋体" w:cs="宋体"/>
                <w:color w:val="FF0000"/>
                <w:kern w:val="2"/>
                <w:sz w:val="24"/>
                <w:szCs w:val="24"/>
                <w:lang w:val="en-US" w:eastAsia="zh-CN" w:bidi="zh-CN"/>
              </w:rPr>
              <w:t>”的培训记录，不符合</w:t>
            </w:r>
          </w:p>
          <w:bookmarkEnd w:id="0"/>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人力资源控制基本满足要求。</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信息交流</w:t>
            </w:r>
          </w:p>
        </w:tc>
        <w:tc>
          <w:tcPr>
            <w:tcW w:w="960" w:type="dxa"/>
            <w:vAlign w:val="top"/>
          </w:tcPr>
          <w:p>
            <w:pP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7.4</w:t>
            </w: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策划编制的程序文件《信息交流控制程序》及管理手册的相关章节规定了企业内、外部沟通和协商的要求，经查阅和交谈符合标准要求。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经理负责在公司建立畅通的沟通渠道。管理者代表是公司内部和外部信息交流和沟通的负责人。综合部是公司内部和外部信息交流和协商的归口综合部。负责与上级主管部门及周边单位的信息交流；负责与管理体系、法律法规等有关的内部和外部信息交流；负责与采购供方、客户等相关方之间的沟通。各部门收集到有关能源管理及节能方面的信息，包括法律法规等，及时向综合部反馈。项目部负责顾客要求方面的有关事宜的沟通。</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目前各项沟通都较为及时、顺畅、效果较好。</w:t>
            </w:r>
          </w:p>
        </w:tc>
        <w:tc>
          <w:tcPr>
            <w:tcW w:w="1100" w:type="dxa"/>
            <w:vAlign w:val="top"/>
          </w:tcPr>
          <w:p>
            <w:pPr>
              <w:rPr>
                <w:rFonts w:hint="eastAsia"/>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形成文件的信息 </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总则 </w:t>
            </w:r>
          </w:p>
          <w:p>
            <w:pPr>
              <w:rPr>
                <w:rFonts w:hint="eastAsia" w:ascii="宋体" w:hAnsi="宋体" w:eastAsia="宋体" w:cs="宋体"/>
                <w:color w:val="auto"/>
                <w:kern w:val="2"/>
                <w:sz w:val="24"/>
                <w:szCs w:val="24"/>
                <w:lang w:val="en-US" w:eastAsia="zh-CN" w:bidi="ar-SA"/>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7.5 </w:t>
            </w:r>
          </w:p>
          <w:p>
            <w:pPr>
              <w:rPr>
                <w:rFonts w:hint="eastAsia" w:ascii="宋体" w:hAnsi="宋体" w:eastAsia="宋体" w:cs="宋体"/>
                <w:color w:val="auto"/>
                <w:kern w:val="2"/>
                <w:sz w:val="24"/>
                <w:szCs w:val="24"/>
                <w:lang w:val="en-US" w:eastAsia="zh-CN" w:bidi="ar-SA"/>
              </w:rPr>
            </w:pP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公司对管理体系文件控制进行了策划，形成了文件化的管理手册、程序文件、三层次管理文件以及所要求的记录。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公司编制的程序文件符合标准要求的所有程序文件，第三层次文件对体系及其相互关系在手册中做了描述，记录表单满足公司目前的管理体系运行的需要。</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公司文件分类：一级文件：管理手册。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二级文件：公司编制了程序文件，包括能源标准要求的所有程序。</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三层次文件：制度和作业指导书，外来文件：包括产品国家标准，能源及运行记录，满足公司目前的管理体系运行的需要。体系文件基本能保证有效性和效率的要求。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查公司按照文审要求对管理手册进行了修改，符合要求。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公司编制并实施了《文件管理程序》，文件包括：手册、程序文件及产品生产过程质量检查考核标准、固废管理制度、安全教育管理制度等。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查管理手册、程序文件等文件，编制：</w:t>
            </w:r>
            <w:r>
              <w:rPr>
                <w:rFonts w:hint="eastAsia" w:ascii="宋体" w:hAnsi="宋体" w:cs="宋体"/>
                <w:color w:val="auto"/>
                <w:sz w:val="24"/>
                <w:szCs w:val="24"/>
                <w:lang w:val="en-US" w:eastAsia="zh-CN"/>
              </w:rPr>
              <w:t>综合部</w:t>
            </w:r>
            <w:r>
              <w:rPr>
                <w:rFonts w:hint="eastAsia" w:ascii="宋体" w:hAnsi="宋体" w:eastAsia="宋体" w:cs="宋体"/>
                <w:color w:val="auto"/>
                <w:sz w:val="24"/>
                <w:szCs w:val="24"/>
                <w:lang w:val="en-US" w:eastAsia="zh-CN"/>
              </w:rPr>
              <w:t>，批准：总经理，查文件编审批齐全、文件清晰符合文件控制程序基本要求。查综合部文件，为有效版本。</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外来文件：与产品要求和质量、环境、职业健康安全管理体系运行有关的国家法律法规、标准等；行业、地方颁布的条例、标准、规范、规程、办法等，查外来文件具体有能源体系标准等，如《中华人民共和国节约能源法》、《企业能源审计技术通则》、《GBT2589《综合能耗计算通则》》、《GBT 15587-2008 工业企业能源管理导则》、《GBT 13234-2009 企业节能量计算方法》等。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查文件发放：综合办下发了能源管理手册、程序文件等文件。</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查文件有标识，检索方便，文件夹存放于文件柜内，防护符合要求。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公司按《记录管理程序》实施对管理体系记录的标识、贮存、保护、检索、保存期限和处置等按规定实施。</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公司提供《记录清单》包括有内审报告、供方评价表、管理评审报告等记录。明确了记录名称、编号、使用保存部门、保存期限等，并经审核后使用。</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公司各种记录由各使用部门保存，查阅综合部保存的记录环境情况，归档文件、记录存放于文件柜内，环境干燥、通风，符合文件归档的要求。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抽查归档文件整理情况，综合部已将文件进行了分类，按记录的名称、编号及时间装文件袋进行归档，记录清洁，字迹清晰，检索方便，抽查有内部审核资料、管理评审资料等，均已装订成册。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提供了作废文件记录：有作废理由、作废日期及申请部门、审核人签字，目前无作废文件记录。</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文件记录控制基本有效。</w:t>
            </w:r>
          </w:p>
        </w:tc>
        <w:tc>
          <w:tcPr>
            <w:tcW w:w="1100" w:type="dxa"/>
            <w:vAlign w:val="top"/>
          </w:tcPr>
          <w:p>
            <w:pPr>
              <w:rPr>
                <w:rFonts w:hint="eastAsia"/>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运行策划和控制</w:t>
            </w: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8.1</w:t>
            </w:r>
          </w:p>
        </w:tc>
        <w:tc>
          <w:tcPr>
            <w:tcW w:w="10489" w:type="dxa"/>
            <w:vAlign w:val="top"/>
          </w:tcPr>
          <w:p>
            <w:pPr>
              <w:rPr>
                <w:rFonts w:hint="eastAsia"/>
                <w:lang w:val="en-US" w:eastAsia="zh-CN"/>
              </w:rPr>
            </w:pPr>
            <w:r>
              <w:rPr>
                <w:rFonts w:hint="eastAsia"/>
                <w:lang w:val="en-US" w:eastAsia="zh-CN"/>
              </w:rPr>
              <w:t>编制了《能源管理制度》、《节能降耗管理制度》、《设备管理制度》等；</w:t>
            </w:r>
          </w:p>
          <w:p>
            <w:pPr>
              <w:rPr>
                <w:rFonts w:hint="default"/>
                <w:lang w:val="en-US" w:eastAsia="zh-CN"/>
              </w:rPr>
            </w:pPr>
            <w:r>
              <w:rPr>
                <w:rFonts w:hint="eastAsia"/>
                <w:lang w:val="en-US" w:eastAsia="zh-CN"/>
              </w:rPr>
              <w:t>运行情况：</w:t>
            </w:r>
          </w:p>
          <w:p>
            <w:pPr>
              <w:rPr>
                <w:rFonts w:hint="default"/>
                <w:lang w:val="en-US" w:eastAsia="zh-CN"/>
              </w:rPr>
            </w:pPr>
            <w:r>
              <w:rPr>
                <w:rFonts w:hint="eastAsia"/>
                <w:lang w:val="en-US" w:eastAsia="zh-CN"/>
              </w:rPr>
              <w:t>1节电控制：综合部</w:t>
            </w:r>
            <w:r>
              <w:rPr>
                <w:rFonts w:hint="default"/>
                <w:lang w:val="en-US" w:eastAsia="zh-CN"/>
              </w:rPr>
              <w:t>全体人员树立节约用电、安全用电意识。在工作需要时开灯，人离</w:t>
            </w:r>
            <w:r>
              <w:rPr>
                <w:rFonts w:hint="eastAsia"/>
                <w:lang w:val="en-US" w:eastAsia="zh-CN"/>
              </w:rPr>
              <w:t>综合部</w:t>
            </w:r>
            <w:r>
              <w:rPr>
                <w:rFonts w:hint="default"/>
                <w:lang w:val="en-US" w:eastAsia="zh-CN"/>
              </w:rPr>
              <w:t xml:space="preserve">必须随手关灯，光线好的房间，必须关闭照明设备。。走廊、楼道里的灯要随手关闭，办公场所应关闭不必要的夜间照明。  </w:t>
            </w:r>
            <w:r>
              <w:rPr>
                <w:rFonts w:hint="eastAsia"/>
                <w:lang w:val="en-US" w:eastAsia="zh-CN"/>
              </w:rPr>
              <w:t>现场观察符合要求</w:t>
            </w:r>
          </w:p>
          <w:p>
            <w:pPr>
              <w:rPr>
                <w:rFonts w:hint="default"/>
                <w:lang w:val="en-US" w:eastAsia="zh-CN"/>
              </w:rPr>
            </w:pPr>
            <w:r>
              <w:rPr>
                <w:rFonts w:hint="default"/>
                <w:lang w:val="en-US" w:eastAsia="zh-CN"/>
              </w:rPr>
              <w:t xml:space="preserve"> </w:t>
            </w:r>
            <w:r>
              <w:rPr>
                <w:rFonts w:hint="eastAsia"/>
                <w:lang w:val="en-US" w:eastAsia="zh-CN"/>
              </w:rPr>
              <w:t>2</w:t>
            </w:r>
            <w:r>
              <w:rPr>
                <w:rFonts w:hint="default"/>
                <w:lang w:val="en-US" w:eastAsia="zh-CN"/>
              </w:rPr>
              <w:t>尽量少用空调设备，必须使用空调时，按统一规定执行。如发现下班后未关闭空调设备，对部门负责人</w:t>
            </w:r>
            <w:r>
              <w:rPr>
                <w:rFonts w:hint="eastAsia"/>
                <w:lang w:val="en-US" w:eastAsia="zh-CN"/>
              </w:rPr>
              <w:t>进行批评教育，现场观察符合要求</w:t>
            </w:r>
          </w:p>
          <w:p>
            <w:pPr>
              <w:rPr>
                <w:rFonts w:hint="eastAsia"/>
                <w:lang w:val="en-US" w:eastAsia="zh-CN"/>
              </w:rPr>
            </w:pPr>
            <w:r>
              <w:rPr>
                <w:rFonts w:hint="eastAsia"/>
                <w:lang w:val="en-US" w:eastAsia="zh-CN"/>
              </w:rPr>
              <w:t>3</w:t>
            </w:r>
            <w:r>
              <w:rPr>
                <w:rFonts w:hint="default"/>
                <w:lang w:val="en-US" w:eastAsia="zh-CN"/>
              </w:rPr>
              <w:t xml:space="preserve">电脑设备不使用时，要进入低能耗休眠状态，减少待机能耗。工作完后，及时关闭计算机、打印机、传真机等设备，下班后无待机现象。  </w:t>
            </w:r>
            <w:r>
              <w:rPr>
                <w:rFonts w:hint="eastAsia"/>
                <w:lang w:val="en-US" w:eastAsia="zh-CN"/>
              </w:rPr>
              <w:t>现场观察符合要求</w:t>
            </w:r>
          </w:p>
          <w:p>
            <w:pPr>
              <w:rPr>
                <w:rFonts w:hint="default"/>
                <w:lang w:val="en-US" w:eastAsia="zh-CN"/>
              </w:rPr>
            </w:pPr>
            <w:r>
              <w:rPr>
                <w:rFonts w:hint="eastAsia"/>
                <w:lang w:val="en-US" w:eastAsia="zh-CN"/>
              </w:rPr>
              <w:t>4</w:t>
            </w:r>
            <w:r>
              <w:rPr>
                <w:rFonts w:hint="default"/>
                <w:lang w:val="en-US" w:eastAsia="zh-CN"/>
              </w:rPr>
              <w:t>各</w:t>
            </w:r>
            <w:r>
              <w:rPr>
                <w:rFonts w:hint="eastAsia"/>
                <w:lang w:val="en-US" w:eastAsia="zh-CN"/>
              </w:rPr>
              <w:t>综合部</w:t>
            </w:r>
            <w:r>
              <w:rPr>
                <w:rFonts w:hint="default"/>
                <w:lang w:val="en-US" w:eastAsia="zh-CN"/>
              </w:rPr>
              <w:t>电脑、空调、电扇、饮水机等一切电器设备应在下班时确保关闭</w:t>
            </w:r>
            <w:r>
              <w:rPr>
                <w:rFonts w:hint="eastAsia"/>
                <w:lang w:val="en-US" w:eastAsia="zh-CN"/>
              </w:rPr>
              <w:t>.现场观察，符合要求</w:t>
            </w:r>
          </w:p>
          <w:p>
            <w:pPr>
              <w:rPr>
                <w:rFonts w:hint="eastAsia"/>
                <w:lang w:val="en-US" w:eastAsia="zh-CN"/>
              </w:rPr>
            </w:pPr>
            <w:r>
              <w:rPr>
                <w:rFonts w:hint="eastAsia"/>
                <w:lang w:val="en-US" w:eastAsia="zh-CN"/>
              </w:rPr>
              <w:t>5</w:t>
            </w:r>
            <w:r>
              <w:rPr>
                <w:rFonts w:hint="default"/>
                <w:lang w:val="en-US" w:eastAsia="zh-CN"/>
              </w:rPr>
              <w:t>严禁在</w:t>
            </w:r>
            <w:r>
              <w:rPr>
                <w:rFonts w:hint="eastAsia"/>
                <w:lang w:val="en-US" w:eastAsia="zh-CN"/>
              </w:rPr>
              <w:t>综合部</w:t>
            </w:r>
            <w:r>
              <w:rPr>
                <w:rFonts w:hint="default"/>
                <w:lang w:val="en-US" w:eastAsia="zh-CN"/>
              </w:rPr>
              <w:t>使用电炉、电暖气、电热水壶等高压负荷电器，不得随意搭接电线设备</w:t>
            </w:r>
            <w:r>
              <w:rPr>
                <w:rFonts w:hint="eastAsia"/>
                <w:lang w:val="en-US" w:eastAsia="zh-CN"/>
              </w:rPr>
              <w:t>.现场观察符合要求</w:t>
            </w:r>
          </w:p>
          <w:p>
            <w:pPr>
              <w:rPr>
                <w:rFonts w:hint="eastAsia"/>
                <w:lang w:val="en-US" w:eastAsia="zh-CN"/>
              </w:rPr>
            </w:pPr>
            <w:r>
              <w:rPr>
                <w:rFonts w:hint="eastAsia"/>
                <w:lang w:val="en-US" w:eastAsia="zh-CN"/>
              </w:rPr>
              <w:t>综合部区域：节水，水龙头没有滴水情况，中水擦地、浇水、冲厕所</w:t>
            </w:r>
          </w:p>
          <w:p>
            <w:pPr>
              <w:rPr>
                <w:rFonts w:hint="default"/>
                <w:lang w:val="en-US" w:eastAsia="zh-CN"/>
              </w:rPr>
            </w:pPr>
            <w:r>
              <w:rPr>
                <w:rFonts w:hint="eastAsia"/>
                <w:lang w:val="en-US" w:eastAsia="zh-CN"/>
              </w:rPr>
              <w:t>能源管理：现场采用声控节能灯，未发现有漏水和浪费电能的现象。</w:t>
            </w:r>
          </w:p>
          <w:p>
            <w:pPr>
              <w:pStyle w:val="2"/>
              <w:rPr>
                <w:rFonts w:hint="eastAsia"/>
                <w:lang w:val="en-US" w:eastAsia="zh-CN"/>
              </w:rPr>
            </w:pPr>
            <w:r>
              <w:rPr>
                <w:rFonts w:hint="eastAsia"/>
                <w:lang w:val="en-US" w:eastAsia="zh-CN"/>
              </w:rPr>
              <w:t>查：财务资金保障</w:t>
            </w:r>
          </w:p>
          <w:p>
            <w:pPr>
              <w:pStyle w:val="2"/>
              <w:rPr>
                <w:rFonts w:hint="eastAsia"/>
                <w:lang w:val="en-US" w:eastAsia="zh-CN"/>
              </w:rPr>
            </w:pPr>
            <w:r>
              <w:rPr>
                <w:rFonts w:hint="eastAsia"/>
                <w:lang w:val="en-US" w:eastAsia="zh-CN"/>
              </w:rPr>
              <w:t>提供2021年财务资金情况：</w:t>
            </w:r>
          </w:p>
          <w:p>
            <w:pPr>
              <w:pStyle w:val="2"/>
              <w:rPr>
                <w:rFonts w:hint="eastAsia"/>
                <w:lang w:val="en-US" w:eastAsia="zh-CN"/>
              </w:rPr>
            </w:pPr>
            <w:r>
              <w:rPr>
                <w:rFonts w:hint="eastAsia"/>
                <w:lang w:val="en-US" w:eastAsia="zh-CN"/>
              </w:rPr>
              <w:t>2021年1-6月电力资金：5004838.17元</w:t>
            </w:r>
          </w:p>
          <w:p>
            <w:pPr>
              <w:pStyle w:val="2"/>
              <w:rPr>
                <w:rFonts w:hint="eastAsia"/>
                <w:lang w:val="en-US" w:eastAsia="zh-CN"/>
              </w:rPr>
            </w:pPr>
            <w:r>
              <w:rPr>
                <w:rFonts w:hint="eastAsia"/>
                <w:lang w:val="en-US" w:eastAsia="zh-CN"/>
              </w:rPr>
              <w:t>2021年1-6月气体支出：995504.49元</w:t>
            </w:r>
          </w:p>
          <w:p>
            <w:pPr>
              <w:pStyle w:val="2"/>
              <w:rPr>
                <w:rFonts w:hint="eastAsia"/>
                <w:lang w:val="en-US" w:eastAsia="zh-CN"/>
              </w:rPr>
            </w:pPr>
            <w:r>
              <w:rPr>
                <w:rFonts w:hint="eastAsia"/>
                <w:lang w:val="en-US" w:eastAsia="zh-CN"/>
              </w:rPr>
              <w:t>提供采购发票：</w:t>
            </w:r>
          </w:p>
          <w:p>
            <w:pPr>
              <w:pStyle w:val="2"/>
              <w:rPr>
                <w:rFonts w:hint="eastAsia"/>
                <w:lang w:val="en-US" w:eastAsia="zh-CN"/>
              </w:rPr>
            </w:pPr>
          </w:p>
          <w:p>
            <w:pPr>
              <w:pStyle w:val="2"/>
              <w:rPr>
                <w:rFonts w:hint="eastAsia"/>
                <w:lang w:val="en-US" w:eastAsia="zh-CN"/>
              </w:rPr>
            </w:pPr>
            <w:r>
              <w:drawing>
                <wp:inline distT="0" distB="0" distL="114300" distR="114300">
                  <wp:extent cx="6514465" cy="1466215"/>
                  <wp:effectExtent l="0" t="0" r="63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514465" cy="146621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r>
              <w:drawing>
                <wp:inline distT="0" distB="0" distL="114300" distR="114300">
                  <wp:extent cx="6521450" cy="2005965"/>
                  <wp:effectExtent l="0" t="0" r="635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521450" cy="2005965"/>
                          </a:xfrm>
                          <a:prstGeom prst="rect">
                            <a:avLst/>
                          </a:prstGeom>
                          <a:noFill/>
                          <a:ln>
                            <a:noFill/>
                          </a:ln>
                        </pic:spPr>
                      </pic:pic>
                    </a:graphicData>
                  </a:graphic>
                </wp:inline>
              </w:drawing>
            </w:r>
          </w:p>
          <w:p>
            <w:pPr>
              <w:pStyle w:val="2"/>
              <w:rPr>
                <w:rFonts w:hint="eastAsia"/>
                <w:lang w:val="en-US" w:eastAsia="zh-CN"/>
              </w:rPr>
            </w:pPr>
          </w:p>
          <w:p>
            <w:pPr>
              <w:pStyle w:val="2"/>
              <w:rPr>
                <w:rFonts w:hint="default"/>
                <w:lang w:val="en-US" w:eastAsia="zh-CN"/>
              </w:rPr>
            </w:pPr>
          </w:p>
        </w:tc>
        <w:tc>
          <w:tcPr>
            <w:tcW w:w="1100" w:type="dxa"/>
            <w:vAlign w:val="top"/>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符合法律要求和其他要求的评价（合规性评价）</w:t>
            </w:r>
          </w:p>
        </w:tc>
        <w:tc>
          <w:tcPr>
            <w:tcW w:w="960" w:type="dxa"/>
            <w:vAlign w:val="top"/>
          </w:tcPr>
          <w:p>
            <w:pPr>
              <w:numPr>
                <w:ilvl w:val="0"/>
                <w:numId w:val="0"/>
              </w:numPr>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9.1.2</w:t>
            </w:r>
          </w:p>
        </w:tc>
        <w:tc>
          <w:tcPr>
            <w:tcW w:w="1048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w:t>
            </w:r>
            <w:r>
              <w:rPr>
                <w:rFonts w:hint="eastAsia" w:ascii="宋体" w:hAnsi="宋体" w:eastAsia="宋体" w:cs="宋体"/>
                <w:color w:val="auto"/>
                <w:sz w:val="24"/>
                <w:szCs w:val="24"/>
              </w:rPr>
              <w:t>《合规性评价报告》</w:t>
            </w:r>
            <w:r>
              <w:rPr>
                <w:rFonts w:hint="eastAsia" w:ascii="宋体" w:hAnsi="宋体" w:eastAsia="宋体" w:cs="宋体"/>
                <w:color w:val="auto"/>
                <w:sz w:val="24"/>
                <w:szCs w:val="24"/>
                <w:lang w:val="en-US" w:eastAsia="zh-CN"/>
              </w:rPr>
              <w:t>查其中内容包含：“法律法规标准和其他要求的获取、法律法规和其他要求的遵守（符合国家农药产业发展政策、公司班组车间成立管理机构及岗位培训、严格执行国家用能设备能效标准及产品能耗限额标准、淘汰落后和国家明令禁止只用产品设备和生产工艺、严格执行GB17167相关要求、执行国家行业及地方能耗限额标准主要用能设备的能效系数对标的符合、目标责任制的建立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评价结论“公司能源管理基本符合相关法律法规和其他要求”；</w:t>
            </w:r>
          </w:p>
          <w:p>
            <w:pPr>
              <w:keepNext w:val="0"/>
              <w:keepLines w:val="0"/>
              <w:pageBreakBefore w:val="0"/>
              <w:widowControl w:val="0"/>
              <w:numPr>
                <w:ilvl w:val="0"/>
                <w:numId w:val="0"/>
              </w:numPr>
              <w:tabs>
                <w:tab w:val="left" w:pos="360"/>
              </w:tabs>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——查内容基本真实、符合识别的法律法规和其他要求的内容；报告有编审批“</w:t>
            </w:r>
            <w:r>
              <w:rPr>
                <w:rFonts w:hint="eastAsia"/>
                <w:lang w:val="en-US" w:eastAsia="zh-CN"/>
              </w:rPr>
              <w:t>葛有民</w:t>
            </w:r>
            <w:r>
              <w:rPr>
                <w:rFonts w:hint="eastAsia" w:ascii="宋体" w:hAnsi="宋体" w:eastAsia="宋体" w:cs="宋体"/>
                <w:color w:val="auto"/>
                <w:sz w:val="24"/>
                <w:szCs w:val="24"/>
                <w:lang w:val="en-US" w:eastAsia="zh-CN"/>
              </w:rPr>
              <w:t>”、日期“</w:t>
            </w:r>
            <w:r>
              <w:rPr>
                <w:rFonts w:hint="eastAsia" w:ascii="宋体" w:hAnsi="宋体" w:cs="宋体"/>
                <w:color w:val="auto"/>
                <w:sz w:val="24"/>
                <w:szCs w:val="24"/>
                <w:lang w:val="en-US" w:eastAsia="zh-CN"/>
              </w:rPr>
              <w:t>2021.3.30</w:t>
            </w:r>
            <w:r>
              <w:rPr>
                <w:rFonts w:hint="eastAsia" w:ascii="宋体" w:hAnsi="宋体" w:eastAsia="宋体" w:cs="宋体"/>
                <w:color w:val="auto"/>
                <w:sz w:val="24"/>
                <w:szCs w:val="24"/>
                <w:lang w:val="en-US" w:eastAsia="zh-CN"/>
              </w:rPr>
              <w:t>”；</w:t>
            </w:r>
          </w:p>
        </w:tc>
        <w:tc>
          <w:tcPr>
            <w:tcW w:w="1100" w:type="dxa"/>
            <w:vAlign w:val="top"/>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内部审核</w:t>
            </w:r>
          </w:p>
        </w:tc>
        <w:tc>
          <w:tcPr>
            <w:tcW w:w="960" w:type="dxa"/>
            <w:vAlign w:val="top"/>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9.2</w:t>
            </w:r>
          </w:p>
          <w:p>
            <w:pPr>
              <w:numPr>
                <w:ilvl w:val="0"/>
                <w:numId w:val="0"/>
              </w:numPr>
              <w:ind w:left="0" w:leftChars="0" w:firstLine="0" w:firstLineChars="0"/>
              <w:rPr>
                <w:rFonts w:hint="eastAsia" w:ascii="宋体" w:hAnsi="宋体" w:eastAsia="宋体" w:cs="宋体"/>
                <w:sz w:val="24"/>
                <w:szCs w:val="24"/>
                <w:lang w:val="en-US" w:eastAsia="zh-CN"/>
              </w:rPr>
            </w:pPr>
          </w:p>
        </w:tc>
        <w:tc>
          <w:tcPr>
            <w:tcW w:w="10489" w:type="dxa"/>
            <w:vAlign w:val="center"/>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公司制定《内部审核控制程序》，对内部审核方案策划规定：</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1.频次：内审每年进行一次，两次内部审核的时间间隔不超过12个月。</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2.方法：按部门/过程审核。</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3.职责：体系负责人组织内部审核活动。</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4.策划要求：范围、准则、工作分配等。</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5.报告：体系负责人在内部审核结束及纠正措施完成后应向总经理报告审核结果。</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6.提供了《2020年内部审核实施计划》，发布了内部管理体系审核通知，计划内容有：目的、范围、审核准则、审核时间2021年</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0日-</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21</w:t>
            </w:r>
            <w:r>
              <w:rPr>
                <w:rFonts w:hint="eastAsia" w:ascii="宋体" w:hAnsi="宋体" w:eastAsia="宋体" w:cs="宋体"/>
                <w:sz w:val="24"/>
                <w:szCs w:val="24"/>
                <w:lang w:val="en-US" w:eastAsia="zh-CN"/>
              </w:rPr>
              <w:t>日。批准：</w:t>
            </w:r>
            <w:r>
              <w:rPr>
                <w:rFonts w:hint="eastAsia"/>
                <w:lang w:val="en-US" w:eastAsia="zh-CN"/>
              </w:rPr>
              <w:t>葛有民</w:t>
            </w:r>
            <w:r>
              <w:rPr>
                <w:rFonts w:hint="eastAsia" w:ascii="宋体" w:hAnsi="宋体" w:eastAsia="宋体" w:cs="宋体"/>
                <w:sz w:val="24"/>
                <w:szCs w:val="24"/>
                <w:lang w:val="en-US" w:eastAsia="zh-CN"/>
              </w:rPr>
              <w:t>，</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查阅2021年度内部审核有关记录</w:t>
            </w:r>
          </w:p>
          <w:p>
            <w:pPr>
              <w:numPr>
                <w:ilvl w:val="0"/>
                <w:numId w:val="0"/>
              </w:num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提供了审核组名单：组长：</w:t>
            </w:r>
            <w:r>
              <w:rPr>
                <w:rFonts w:hint="eastAsia"/>
                <w:lang w:val="en-US" w:eastAsia="zh-CN"/>
              </w:rPr>
              <w:t>梁坡丰</w:t>
            </w:r>
            <w:r>
              <w:rPr>
                <w:rFonts w:hint="eastAsia" w:ascii="宋体" w:hAnsi="宋体" w:eastAsia="宋体" w:cs="宋体"/>
                <w:sz w:val="24"/>
                <w:szCs w:val="24"/>
                <w:lang w:val="en-US" w:eastAsia="zh-CN"/>
              </w:rPr>
              <w:t xml:space="preserve">  组员：</w:t>
            </w:r>
            <w:r>
              <w:rPr>
                <w:rFonts w:hint="eastAsia"/>
                <w:lang w:val="en-US" w:eastAsia="zh-CN"/>
              </w:rPr>
              <w:t>何鑫梅</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审核范围：公司领导层、各部门。查全条款覆盖。提供了内审员培训记录，审核员没有审核自己部门工作，具有独立性</w:t>
            </w:r>
            <w:r>
              <w:rPr>
                <w:rFonts w:hint="eastAsia" w:ascii="宋体" w:hAnsi="宋体" w:cs="宋体"/>
                <w:sz w:val="24"/>
                <w:szCs w:val="24"/>
                <w:lang w:val="en-US" w:eastAsia="zh-CN"/>
              </w:rPr>
              <w:t>、基本符合规定；</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3.审核准则：GB/T24001-2016;ISO50001:2018，公司管理体系文件、适用的法律法规、产品标准等。</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4.提供了《内审首次会议签到表》，参加人有各部门负责人等。</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5.提供了《内审检查表》，经查阅对照，受审核部门涉及条款与公司管理体系职责分配相一致。审核记录基本满足要求。</w:t>
            </w:r>
          </w:p>
          <w:p>
            <w:pPr>
              <w:numPr>
                <w:ilvl w:val="0"/>
                <w:numId w:val="0"/>
              </w:num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6.提供了《内审不合格报告》</w:t>
            </w:r>
            <w:r>
              <w:rPr>
                <w:rFonts w:hint="eastAsia" w:ascii="宋体" w:hAnsi="宋体" w:cs="宋体"/>
                <w:sz w:val="24"/>
                <w:szCs w:val="24"/>
                <w:lang w:val="en-US" w:eastAsia="zh-CN"/>
              </w:rPr>
              <w:t>1份；</w:t>
            </w:r>
          </w:p>
          <w:p>
            <w:pPr>
              <w:numPr>
                <w:ilvl w:val="0"/>
                <w:numId w:val="0"/>
              </w:num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提供不符合报告，经过整改不符合已经关闭</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对于涉及不符合项的部门，进行了原因分析并制定纠正措施计划，经过审核组验证，纠正措施有效。</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理体系标准条款学习，进行不符合项整改，要求在5日内整改完毕，由管代组织相关内审员对整改后的情况进行跟踪验证，确认纠正及纠正措施有效，体系的建立、运行符合质量管理体系要求。</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审核结论：基本符合计划安排和标准的要求，并得到了较有效实施和保持， 仍需进一步改进。    </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组长：</w:t>
            </w:r>
            <w:r>
              <w:rPr>
                <w:rFonts w:hint="eastAsia"/>
                <w:lang w:val="en-US" w:eastAsia="zh-CN"/>
              </w:rPr>
              <w:t>梁坡丰</w:t>
            </w:r>
            <w:r>
              <w:rPr>
                <w:rFonts w:hint="eastAsia" w:ascii="宋体" w:hAnsi="宋体" w:eastAsia="宋体" w:cs="宋体"/>
                <w:sz w:val="24"/>
                <w:szCs w:val="24"/>
                <w:lang w:val="en-US" w:eastAsia="zh-CN"/>
              </w:rPr>
              <w:t xml:space="preserve">  </w:t>
            </w:r>
          </w:p>
          <w:p>
            <w:pPr>
              <w:pStyle w:val="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不符合和纠正措施</w:t>
            </w: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tc>
        <w:tc>
          <w:tcPr>
            <w:tcW w:w="960" w:type="dxa"/>
            <w:vAlign w:val="top"/>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w:t>
            </w: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p>
            <w:pPr>
              <w:numPr>
                <w:ilvl w:val="0"/>
                <w:numId w:val="0"/>
              </w:numPr>
              <w:ind w:left="0" w:leftChars="0" w:firstLine="0" w:firstLineChars="0"/>
              <w:rPr>
                <w:rFonts w:hint="eastAsia" w:ascii="宋体" w:hAnsi="宋体" w:eastAsia="宋体" w:cs="宋体"/>
                <w:sz w:val="24"/>
                <w:szCs w:val="24"/>
                <w:lang w:val="en-US" w:eastAsia="zh-CN"/>
              </w:rPr>
            </w:pPr>
          </w:p>
        </w:tc>
        <w:tc>
          <w:tcPr>
            <w:tcW w:w="10489" w:type="dxa"/>
            <w:vAlign w:val="top"/>
          </w:tcPr>
          <w:p>
            <w:pPr>
              <w:numPr>
                <w:ilvl w:val="0"/>
                <w:numId w:val="0"/>
              </w:num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查内审不符合1项、有不符合项内容描述、原因分析、及纠正措施的实施及验证信息；不符合纠正措施验证有效、不符合关闭；</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公司制定《纠正预防措施控制程序》，规定了纠正措施的来源,明确了对不合格项应进行原因分析,制定纠正措施计划,实施跟踪验证,确保所采取 的纠正措施满足预期要求。</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内审中发现的不符合项已经采取纠正措施，整改完毕且有效。</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通过交谈，基本能清楚纠正和预防措施的控制要求。改进的示例包括纠正、纠正措施、持续改进。</w:t>
            </w:r>
          </w:p>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根据不同过程、不同产品和不同要求，采取不同的方法进行监视、测量和分析。无其他不符合发生。</w:t>
            </w:r>
          </w:p>
          <w:p>
            <w:pPr>
              <w:numPr>
                <w:ilvl w:val="0"/>
                <w:numId w:val="0"/>
              </w:numPr>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公司利用En方针、目标、内审和外审、数据分析、纠正和预防措施以及管理评审，识别任何改进的机会，持续改进质量管理体系的适宜性、充分性和有效性。</w:t>
            </w:r>
          </w:p>
        </w:tc>
        <w:tc>
          <w:tcPr>
            <w:tcW w:w="1100" w:type="dxa"/>
            <w:vAlign w:val="top"/>
          </w:tcPr>
          <w:p/>
        </w:tc>
      </w:tr>
    </w:tbl>
    <w:p>
      <w:r>
        <w:ptab w:relativeTo="margin" w:alignment="center" w:leader="none"/>
      </w:r>
    </w:p>
    <w:p/>
    <w:p/>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025"/>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025"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Qaq5dYAAAAKAQAADwAAAAAAAAABACAAAAAiAAAAZHJzL2Rvd25yZXYu&#10;eG1sUEsBAhQAFAAAAAgAh07iQO6djL7EAQAAegMAAA4AAAAAAAAAAQAgAAAAJQEAAGRycy9lMm9E&#10;b2MueG1sUEsFBgAAAAAGAAYAWQEAAFs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9"/>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7989"/>
    <w:rsid w:val="0B2F2444"/>
    <w:rsid w:val="0FF44133"/>
    <w:rsid w:val="10824623"/>
    <w:rsid w:val="10A967B9"/>
    <w:rsid w:val="12265489"/>
    <w:rsid w:val="1291364C"/>
    <w:rsid w:val="12B94D11"/>
    <w:rsid w:val="148168D6"/>
    <w:rsid w:val="15686A98"/>
    <w:rsid w:val="1768237D"/>
    <w:rsid w:val="1A756714"/>
    <w:rsid w:val="1CE22872"/>
    <w:rsid w:val="22516447"/>
    <w:rsid w:val="246A3245"/>
    <w:rsid w:val="24F33525"/>
    <w:rsid w:val="24F82A34"/>
    <w:rsid w:val="2573164D"/>
    <w:rsid w:val="28AB754A"/>
    <w:rsid w:val="29AD5457"/>
    <w:rsid w:val="2CD9740B"/>
    <w:rsid w:val="2E965A6A"/>
    <w:rsid w:val="32431433"/>
    <w:rsid w:val="351C2720"/>
    <w:rsid w:val="36797100"/>
    <w:rsid w:val="36D74EBC"/>
    <w:rsid w:val="3B0B118D"/>
    <w:rsid w:val="3C033575"/>
    <w:rsid w:val="3FBE386E"/>
    <w:rsid w:val="42483FE4"/>
    <w:rsid w:val="45A4501C"/>
    <w:rsid w:val="495D0CC2"/>
    <w:rsid w:val="4A347E1A"/>
    <w:rsid w:val="4B946D42"/>
    <w:rsid w:val="4D4D66CE"/>
    <w:rsid w:val="4EFF2013"/>
    <w:rsid w:val="4F323AB9"/>
    <w:rsid w:val="536212BA"/>
    <w:rsid w:val="536F19B2"/>
    <w:rsid w:val="53744EFB"/>
    <w:rsid w:val="53FF54C0"/>
    <w:rsid w:val="555F30D1"/>
    <w:rsid w:val="565A330A"/>
    <w:rsid w:val="56EE3107"/>
    <w:rsid w:val="5A332F5E"/>
    <w:rsid w:val="5C5C3AFC"/>
    <w:rsid w:val="5C7A5750"/>
    <w:rsid w:val="5CFD0918"/>
    <w:rsid w:val="5DA47360"/>
    <w:rsid w:val="5DF52D98"/>
    <w:rsid w:val="603F5B71"/>
    <w:rsid w:val="60527450"/>
    <w:rsid w:val="613913A0"/>
    <w:rsid w:val="62D17901"/>
    <w:rsid w:val="64A74FCF"/>
    <w:rsid w:val="64CA2B87"/>
    <w:rsid w:val="65705F30"/>
    <w:rsid w:val="676F3C4A"/>
    <w:rsid w:val="69B25C14"/>
    <w:rsid w:val="6CFD6C0C"/>
    <w:rsid w:val="6D896AE7"/>
    <w:rsid w:val="70F35E25"/>
    <w:rsid w:val="7193192E"/>
    <w:rsid w:val="720D6AAF"/>
    <w:rsid w:val="742F48F9"/>
    <w:rsid w:val="751D3F6D"/>
    <w:rsid w:val="79DC538C"/>
    <w:rsid w:val="7EA26C89"/>
    <w:rsid w:val="7EE73F2D"/>
    <w:rsid w:val="7EE93D41"/>
    <w:rsid w:val="7FD216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3">
    <w:name w:val="Body Text Indent"/>
    <w:basedOn w:val="1"/>
    <w:next w:val="4"/>
    <w:unhideWhenUsed/>
    <w:qFormat/>
    <w:uiPriority w:val="0"/>
    <w:pPr>
      <w:spacing w:beforeLines="0" w:after="120" w:afterLines="0"/>
      <w:ind w:left="200" w:leftChars="200"/>
    </w:pPr>
    <w:rPr>
      <w:rFonts w:hint="default"/>
      <w:sz w:val="24"/>
    </w:rPr>
  </w:style>
  <w:style w:type="paragraph" w:styleId="4">
    <w:name w:val="toc 3"/>
    <w:basedOn w:val="1"/>
    <w:next w:val="1"/>
    <w:unhideWhenUsed/>
    <w:qFormat/>
    <w:uiPriority w:val="0"/>
    <w:pPr>
      <w:spacing w:beforeLines="0" w:afterLines="0"/>
      <w:ind w:left="400" w:leftChars="400"/>
    </w:pPr>
    <w:rPr>
      <w:rFonts w:hint="default"/>
      <w:sz w:val="21"/>
    </w:rPr>
  </w:style>
  <w:style w:type="paragraph" w:styleId="5">
    <w:name w:val="Block Text"/>
    <w:basedOn w:val="1"/>
    <w:qFormat/>
    <w:uiPriority w:val="0"/>
    <w:pPr>
      <w:ind w:left="-178" w:leftChars="-85" w:right="1105" w:rightChars="526" w:firstLine="560" w:firstLineChars="200"/>
    </w:pPr>
    <w:rPr>
      <w:rFonts w:eastAsia="仿宋_GB2312"/>
      <w:sz w:val="28"/>
    </w:rPr>
  </w:style>
  <w:style w:type="paragraph" w:styleId="6">
    <w:name w:val="Plain Text"/>
    <w:basedOn w:val="1"/>
    <w:qFormat/>
    <w:uiPriority w:val="0"/>
    <w:rPr>
      <w:rFonts w:ascii="宋体" w:hAnsi="Courier New" w:cs="Courier New"/>
      <w:szCs w:val="21"/>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utoSpaceDE/>
      <w:autoSpaceDN/>
    </w:pPr>
    <w:rPr>
      <w:rFonts w:ascii="Calibri" w:hAnsi="Calibri" w:eastAsia="宋体"/>
      <w:sz w:val="24"/>
      <w:szCs w:val="24"/>
      <w:lang w:val="en-US" w:bidi="ar-SA"/>
    </w:rPr>
  </w:style>
  <w:style w:type="paragraph" w:styleId="11">
    <w:name w:val="Body Text First Indent"/>
    <w:basedOn w:val="2"/>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12">
    <w:name w:val="Body Text First Indent 2"/>
    <w:basedOn w:val="3"/>
    <w:next w:val="1"/>
    <w:unhideWhenUsed/>
    <w:qFormat/>
    <w:uiPriority w:val="0"/>
    <w:pPr>
      <w:autoSpaceDE w:val="0"/>
      <w:autoSpaceDN w:val="0"/>
      <w:adjustRightInd w:val="0"/>
      <w:spacing w:beforeLines="0" w:after="0" w:afterLines="0" w:line="360" w:lineRule="auto"/>
      <w:ind w:left="0" w:firstLine="420" w:firstLineChars="200"/>
      <w:jc w:val="left"/>
    </w:pPr>
    <w:rPr>
      <w:rFonts w:hint="default"/>
      <w:kern w:val="0"/>
      <w:sz w:val="24"/>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9"/>
    <w:qFormat/>
    <w:uiPriority w:val="99"/>
    <w:rPr>
      <w:rFonts w:ascii="Times New Roman" w:hAnsi="Times New Roman" w:eastAsia="宋体" w:cs="Times New Roman"/>
      <w:sz w:val="18"/>
      <w:szCs w:val="18"/>
    </w:rPr>
  </w:style>
  <w:style w:type="character" w:customStyle="1" w:styleId="17">
    <w:name w:val="页脚 Char"/>
    <w:basedOn w:val="14"/>
    <w:link w:val="8"/>
    <w:qFormat/>
    <w:uiPriority w:val="99"/>
    <w:rPr>
      <w:rFonts w:ascii="Times New Roman" w:hAnsi="Times New Roman" w:eastAsia="宋体" w:cs="Times New Roman"/>
      <w:sz w:val="18"/>
      <w:szCs w:val="18"/>
    </w:rPr>
  </w:style>
  <w:style w:type="character" w:customStyle="1" w:styleId="18">
    <w:name w:val="批注框文本 Char"/>
    <w:basedOn w:val="14"/>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spacing w:before="92"/>
      <w:ind w:left="980" w:hanging="601"/>
    </w:pPr>
    <w:rPr>
      <w:rFonts w:ascii="宋体" w:hAnsi="宋体" w:eastAsia="宋体" w:cs="宋体"/>
      <w:lang w:val="zh-CN" w:eastAsia="zh-CN" w:bidi="zh-CN"/>
    </w:rPr>
  </w:style>
  <w:style w:type="character" w:customStyle="1" w:styleId="22">
    <w:name w:val="样式 页眉 + 五号 Char"/>
    <w:link w:val="23"/>
    <w:qFormat/>
    <w:uiPriority w:val="0"/>
    <w:rPr>
      <w:rFonts w:ascii="Calibri" w:hAnsi="Calibri"/>
      <w:sz w:val="20"/>
    </w:rPr>
  </w:style>
  <w:style w:type="paragraph" w:customStyle="1" w:styleId="23">
    <w:name w:val="样式 页眉 + 五号"/>
    <w:basedOn w:val="9"/>
    <w:link w:val="22"/>
    <w:qFormat/>
    <w:uiPriority w:val="0"/>
    <w:pPr>
      <w:pBdr>
        <w:bottom w:val="none" w:color="auto" w:sz="0" w:space="0"/>
      </w:pBdr>
    </w:pPr>
    <w:rPr>
      <w:rFonts w:ascii="Calibri" w:hAnsi="Calibri"/>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6</TotalTime>
  <ScaleCrop>false</ScaleCrop>
  <LinksUpToDate>false</LinksUpToDate>
  <CharactersWithSpaces>101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2021-07-30T08:33:46Z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24620FE07F824CEF9347841678D27BAF</vt:lpwstr>
  </property>
</Properties>
</file>