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r>
              <w:rPr>
                <w:sz w:val="21"/>
                <w:szCs w:val="21"/>
              </w:rPr>
              <w:t>包头市中鑫安泰磁业有限公司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r>
              <w:rPr>
                <w:sz w:val="21"/>
                <w:szCs w:val="21"/>
              </w:rPr>
              <w:t>0571-2021-EnMs</w:t>
            </w:r>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rFonts w:hint="default" w:eastAsia="宋体"/>
                <w:sz w:val="21"/>
                <w:szCs w:val="21"/>
                <w:lang w:val="en-US" w:eastAsia="zh-CN"/>
              </w:rPr>
            </w:pPr>
            <w:bookmarkStart w:id="0" w:name="Q勾选"/>
            <w:r>
              <w:rPr>
                <w:rFonts w:hint="eastAsia"/>
                <w:sz w:val="21"/>
                <w:szCs w:val="21"/>
              </w:rPr>
              <w:t>□</w:t>
            </w:r>
            <w:bookmarkEnd w:id="0"/>
            <w:r>
              <w:rPr>
                <w:spacing w:val="-2"/>
                <w:sz w:val="21"/>
                <w:szCs w:val="21"/>
              </w:rPr>
              <w:t>QMS</w:t>
            </w:r>
            <w:bookmarkStart w:id="1" w:name="E勾选"/>
            <w:r>
              <w:rPr>
                <w:rFonts w:hint="eastAsia"/>
                <w:sz w:val="21"/>
                <w:szCs w:val="21"/>
              </w:rPr>
              <w:t>□</w:t>
            </w:r>
            <w:bookmarkEnd w:id="1"/>
            <w:r>
              <w:rPr>
                <w:spacing w:val="-2"/>
                <w:sz w:val="21"/>
                <w:szCs w:val="21"/>
              </w:rPr>
              <w:t>EMS</w:t>
            </w:r>
            <w:bookmarkStart w:id="2" w:name="S勾选"/>
            <w:r>
              <w:rPr>
                <w:rFonts w:hint="eastAsia"/>
                <w:sz w:val="21"/>
                <w:szCs w:val="21"/>
              </w:rPr>
              <w:t>□</w:t>
            </w:r>
            <w:bookmarkEnd w:id="2"/>
            <w:r>
              <w:rPr>
                <w:spacing w:val="-2"/>
                <w:sz w:val="21"/>
                <w:szCs w:val="21"/>
              </w:rPr>
              <w:t>OHSMS</w:t>
            </w:r>
            <w:r>
              <w:rPr>
                <w:rFonts w:hint="eastAsia"/>
                <w:sz w:val="21"/>
                <w:szCs w:val="21"/>
                <w:lang w:eastAsia="zh-CN"/>
              </w:rPr>
              <w:t>☑</w:t>
            </w:r>
            <w:r>
              <w:rPr>
                <w:sz w:val="21"/>
                <w:szCs w:val="21"/>
              </w:rPr>
              <w:t>EnMs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r>
              <w:rPr>
                <w:rFonts w:hint="eastAsia"/>
                <w:lang w:val="en-US" w:eastAsia="zh-CN"/>
              </w:rPr>
              <w:t>梁坡丰</w:t>
            </w:r>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r>
              <w:rPr>
                <w:rFonts w:hint="eastAsia"/>
                <w:lang w:val="en-US" w:eastAsia="zh-CN"/>
              </w:rPr>
              <w:t>18586183508</w:t>
            </w:r>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3" w:name="联系人邮箱"/>
            <w:r>
              <w:rPr>
                <w:sz w:val="21"/>
                <w:szCs w:val="21"/>
              </w:rPr>
              <w:t>521119787@qq.com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4" w:name="最高管理者"/>
            <w:bookmarkEnd w:id="4"/>
            <w:r>
              <w:rPr>
                <w:rFonts w:hint="eastAsia"/>
              </w:rPr>
              <w:t>葛有民</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5" w:name="联系人传真"/>
            <w:bookmarkEnd w:id="5"/>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r>
              <w:t>有色金属的生产所涉及的能源管理活动</w:t>
            </w:r>
          </w:p>
        </w:tc>
        <w:tc>
          <w:tcPr>
            <w:tcW w:w="850" w:type="dxa"/>
            <w:gridSpan w:val="2"/>
            <w:vAlign w:val="center"/>
          </w:tcPr>
          <w:p>
            <w:r>
              <w:rPr>
                <w:rFonts w:hint="eastAsia"/>
              </w:rPr>
              <w:t>专业</w:t>
            </w:r>
          </w:p>
          <w:p>
            <w:r>
              <w:rPr>
                <w:rFonts w:hint="eastAsia"/>
              </w:rPr>
              <w:t>代码</w:t>
            </w:r>
          </w:p>
        </w:tc>
        <w:tc>
          <w:tcPr>
            <w:tcW w:w="1654" w:type="dxa"/>
            <w:gridSpan w:val="2"/>
            <w:vAlign w:val="center"/>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hint="eastAsia" w:ascii="宋体" w:hAnsi="宋体" w:eastAsia="宋体"/>
                <w:b/>
                <w:sz w:val="21"/>
                <w:szCs w:val="21"/>
                <w:lang w:val="en-US" w:eastAsia="zh-CN"/>
              </w:rPr>
            </w:pPr>
            <w:bookmarkStart w:id="6" w:name="审核依据"/>
            <w:r>
              <w:rPr>
                <w:rFonts w:hint="eastAsia" w:ascii="宋体" w:hAnsi="宋体"/>
                <w:b/>
                <w:sz w:val="21"/>
                <w:szCs w:val="21"/>
              </w:rPr>
              <w:t>IS050001:2018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7" w:name="审核日期安排"/>
            <w:r>
              <w:rPr>
                <w:rFonts w:hint="eastAsia"/>
                <w:b/>
                <w:sz w:val="21"/>
                <w:szCs w:val="21"/>
              </w:rPr>
              <w:t>2021年07月28日 下午至2021年07月29日 上午 (共1.0天)</w:t>
            </w:r>
            <w:bookmarkEnd w:id="7"/>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rFonts w:hint="eastAsia" w:eastAsia="宋体"/>
                <w:sz w:val="21"/>
                <w:szCs w:val="21"/>
                <w:lang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姜小清</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13801208638</w:t>
            </w:r>
          </w:p>
        </w:tc>
        <w:tc>
          <w:tcPr>
            <w:tcW w:w="1229" w:type="dxa"/>
            <w:vAlign w:val="center"/>
          </w:tcPr>
          <w:p>
            <w:pPr>
              <w:jc w:val="center"/>
              <w:rPr>
                <w:rFonts w:hint="eastAsia" w:eastAsia="宋体"/>
                <w:sz w:val="21"/>
                <w:szCs w:val="21"/>
                <w:lang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散布拉</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专家</w:t>
            </w:r>
          </w:p>
          <w:p>
            <w:pPr>
              <w:jc w:val="center"/>
              <w:rPr>
                <w:sz w:val="21"/>
                <w:szCs w:val="21"/>
              </w:rPr>
            </w:pPr>
          </w:p>
        </w:tc>
        <w:tc>
          <w:tcPr>
            <w:tcW w:w="3402" w:type="dxa"/>
            <w:gridSpan w:val="4"/>
            <w:vAlign w:val="center"/>
          </w:tcPr>
          <w:p>
            <w:pPr>
              <w:jc w:val="center"/>
              <w:rPr>
                <w:sz w:val="21"/>
                <w:szCs w:val="21"/>
              </w:rPr>
            </w:pPr>
            <w:r>
              <w:rPr>
                <w:sz w:val="21"/>
                <w:szCs w:val="21"/>
              </w:rPr>
              <w:t>2.2</w:t>
            </w:r>
          </w:p>
        </w:tc>
        <w:tc>
          <w:tcPr>
            <w:tcW w:w="1559" w:type="dxa"/>
            <w:gridSpan w:val="4"/>
            <w:vAlign w:val="center"/>
          </w:tcPr>
          <w:p>
            <w:pPr>
              <w:jc w:val="center"/>
              <w:rPr>
                <w:sz w:val="21"/>
                <w:szCs w:val="21"/>
              </w:rPr>
            </w:pPr>
            <w:r>
              <w:rPr>
                <w:sz w:val="21"/>
                <w:szCs w:val="21"/>
              </w:rPr>
              <w:t>13847220386</w:t>
            </w:r>
          </w:p>
        </w:tc>
        <w:tc>
          <w:tcPr>
            <w:tcW w:w="1229" w:type="dxa"/>
            <w:vAlign w:val="center"/>
          </w:tcPr>
          <w:p>
            <w:pPr>
              <w:jc w:val="center"/>
              <w:rPr>
                <w:rFonts w:hint="eastAsia" w:eastAsia="宋体"/>
                <w:sz w:val="21"/>
                <w:szCs w:val="21"/>
                <w:lang w:eastAsia="zh-CN"/>
              </w:rPr>
            </w:pPr>
            <w:r>
              <w:rPr>
                <w:rFonts w:hint="eastAsia"/>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2021.7.27</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2021.7.27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2021.</w:t>
            </w:r>
          </w:p>
          <w:p>
            <w:pPr>
              <w:snapToGrid w:val="0"/>
              <w:spacing w:line="280" w:lineRule="exact"/>
              <w:jc w:val="left"/>
              <w:rPr>
                <w:rFonts w:hint="default" w:eastAsia="宋体"/>
                <w:b/>
                <w:sz w:val="20"/>
                <w:lang w:val="en-US" w:eastAsia="zh-CN"/>
              </w:rPr>
            </w:pPr>
            <w:r>
              <w:rPr>
                <w:rFonts w:hint="eastAsia"/>
                <w:b/>
                <w:sz w:val="20"/>
                <w:lang w:val="en-US" w:eastAsia="zh-CN"/>
              </w:rPr>
              <w:t>7.28</w:t>
            </w:r>
          </w:p>
        </w:tc>
        <w:tc>
          <w:tcPr>
            <w:tcW w:w="1505"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kern w:val="2"/>
                <w:sz w:val="20"/>
                <w:szCs w:val="20"/>
                <w:u w:val="none"/>
                <w:shd w:val="clear"/>
                <w:lang w:val="zh-TW" w:eastAsia="zh-TW" w:bidi="ar-SA"/>
              </w:rPr>
            </w:pPr>
            <w:r>
              <w:rPr>
                <w:rFonts w:hint="eastAsia" w:ascii="Times New Roman" w:hAnsi="Times New Roman" w:eastAsia="宋体" w:cs="Times New Roman"/>
                <w:b/>
                <w:kern w:val="2"/>
                <w:sz w:val="20"/>
                <w:szCs w:val="20"/>
                <w:u w:val="none"/>
                <w:shd w:val="clear"/>
                <w:lang w:val="en-US" w:eastAsia="zh-CN" w:bidi="ar-SA"/>
              </w:rPr>
              <w:t>14:00-14:30</w:t>
            </w:r>
          </w:p>
        </w:tc>
        <w:tc>
          <w:tcPr>
            <w:tcW w:w="6665"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首次会议</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14:30-18:00</w:t>
            </w:r>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一、合同基本信息确认：</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核对资质证书（营业执照、生产（安全）许可证、行业许可证、</w:t>
            </w:r>
            <w:r>
              <w:rPr>
                <w:rFonts w:hint="eastAsia" w:ascii="Times New Roman" w:hAnsi="Times New Roman" w:eastAsia="宋体" w:cs="Times New Roman"/>
                <w:b w:val="0"/>
                <w:bCs/>
                <w:kern w:val="2"/>
                <w:sz w:val="20"/>
                <w:szCs w:val="20"/>
                <w:u w:val="none"/>
                <w:shd w:val="clear"/>
                <w:lang w:val="en-US" w:eastAsia="en-US" w:bidi="ar-SA"/>
              </w:rPr>
              <w:t>3C</w:t>
            </w:r>
            <w:r>
              <w:rPr>
                <w:rFonts w:hint="eastAsia" w:ascii="Times New Roman" w:hAnsi="Times New Roman" w:eastAsia="宋体" w:cs="Times New Roman"/>
                <w:b w:val="0"/>
                <w:bCs/>
                <w:kern w:val="2"/>
                <w:sz w:val="20"/>
                <w:szCs w:val="20"/>
                <w:u w:val="none"/>
                <w:shd w:val="clear"/>
                <w:lang w:val="en-US" w:eastAsia="zh-CN" w:bidi="ar-SA"/>
              </w:rPr>
              <w:t>证书等）原 件和复印件/扫描件的一致性</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确定审核范围的合理性（地址、产品/服务）</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确定多现场和临时现场的地址</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确定有效的员工人数</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5、</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生产、服务的班次</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6、</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体系运行时间是否满足6个月</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kern w:val="2"/>
                <w:sz w:val="17"/>
                <w:szCs w:val="17"/>
                <w:u w:val="none"/>
                <w:shd w:val="clear" w:color="auto" w:fill="auto"/>
                <w:lang w:val="zh-TW" w:eastAsia="zh-CN" w:bidi="zh-TW"/>
              </w:rPr>
            </w:pPr>
            <w:r>
              <w:rPr>
                <w:rFonts w:hint="eastAsia" w:ascii="Times New Roman" w:hAnsi="Times New Roman" w:eastAsia="宋体" w:cs="Times New Roman"/>
                <w:b/>
                <w:kern w:val="2"/>
                <w:sz w:val="20"/>
                <w:szCs w:val="20"/>
                <w:u w:val="none"/>
                <w:shd w:val="clear"/>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b/>
                <w:sz w:val="20"/>
              </w:rPr>
            </w:pPr>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二、管理体系的运行情况：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管理方针制定与贯彻情况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管理目标及完成统计</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员工对相关标准的认知和能力（贯标培训、应知应会、持证上岗等）</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相关方/客户的反馈</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5、</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内审的策划和实施</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6、</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管理体系的评审</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7、</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对多场所/临时场所建立的控制的水平（适用时）</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8、</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识别二阶段审核的资源配置情况和可行性</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kern w:val="2"/>
                <w:sz w:val="20"/>
                <w:szCs w:val="20"/>
                <w:u w:val="none"/>
                <w:shd w:val="clear"/>
                <w:lang w:val="zh-TW" w:eastAsia="zh-CN" w:bidi="ar-SA"/>
              </w:rPr>
            </w:pPr>
            <w:r>
              <w:rPr>
                <w:rFonts w:hint="eastAsia" w:ascii="Times New Roman" w:hAnsi="Times New Roman" w:eastAsia="宋体" w:cs="Times New Roman"/>
                <w:b/>
                <w:kern w:val="2"/>
                <w:sz w:val="20"/>
                <w:szCs w:val="20"/>
                <w:u w:val="none"/>
                <w:shd w:val="clear"/>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restart"/>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2021.</w:t>
            </w:r>
          </w:p>
          <w:p>
            <w:pPr>
              <w:snapToGrid w:val="0"/>
              <w:spacing w:line="280" w:lineRule="exact"/>
              <w:jc w:val="left"/>
              <w:rPr>
                <w:rFonts w:hint="default" w:eastAsia="宋体"/>
                <w:b/>
                <w:sz w:val="20"/>
                <w:lang w:val="en-US" w:eastAsia="zh-CN"/>
              </w:rPr>
            </w:pPr>
            <w:r>
              <w:rPr>
                <w:rFonts w:hint="eastAsia"/>
                <w:b/>
                <w:sz w:val="20"/>
                <w:lang w:val="en-US" w:eastAsia="zh-CN"/>
              </w:rPr>
              <w:t>7.29</w:t>
            </w: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一、了解企业基本情况：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组织环境</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主要的相关方和期望</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风险的识别和评价</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组织机构的设置</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5、</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外部提供过程、产品和服务</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6、</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被主管部门处罚和曝光情况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7、</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其他机构转入情况（适用时）</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kern w:val="2"/>
                <w:sz w:val="20"/>
                <w:szCs w:val="20"/>
                <w:u w:val="none"/>
                <w:shd w:val="clear"/>
                <w:lang w:val="zh-TW" w:eastAsia="zh-CN" w:bidi="ar-SA"/>
              </w:rPr>
            </w:pPr>
            <w:r>
              <w:rPr>
                <w:rFonts w:hint="eastAsia" w:ascii="Times New Roman" w:hAnsi="Times New Roman" w:eastAsia="宋体" w:cs="Times New Roman"/>
                <w:b/>
                <w:kern w:val="2"/>
                <w:sz w:val="20"/>
                <w:szCs w:val="20"/>
                <w:u w:val="none"/>
                <w:shd w:val="clear"/>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bookmarkStart w:id="8" w:name="_GoBack"/>
            <w:bookmarkEnd w:id="8"/>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二、文件化体系策划情况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管理手册；</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文件化的程序；</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作业文件;</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记录表格</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kern w:val="2"/>
                <w:sz w:val="20"/>
                <w:szCs w:val="20"/>
                <w:u w:val="none"/>
                <w:shd w:val="clear"/>
                <w:lang w:val="zh-TW" w:eastAsia="zh-CN" w:bidi="ar-SA"/>
              </w:rPr>
            </w:pPr>
            <w:r>
              <w:rPr>
                <w:rFonts w:hint="eastAsia" w:ascii="Times New Roman" w:hAnsi="Times New Roman" w:eastAsia="宋体" w:cs="Times New Roman"/>
                <w:b/>
                <w:kern w:val="2"/>
                <w:sz w:val="20"/>
                <w:szCs w:val="20"/>
                <w:u w:val="none"/>
                <w:shd w:val="clear"/>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2021.</w:t>
            </w:r>
          </w:p>
          <w:p>
            <w:pPr>
              <w:snapToGrid w:val="0"/>
              <w:spacing w:line="280" w:lineRule="exact"/>
              <w:jc w:val="left"/>
              <w:rPr>
                <w:rFonts w:hint="default" w:eastAsia="宋体"/>
                <w:b/>
                <w:sz w:val="20"/>
                <w:lang w:val="en-US" w:eastAsia="zh-CN"/>
              </w:rPr>
            </w:pPr>
            <w:r>
              <w:rPr>
                <w:rFonts w:hint="eastAsia"/>
                <w:b/>
                <w:sz w:val="20"/>
                <w:lang w:val="en-US" w:eastAsia="zh-CN"/>
              </w:rPr>
              <w:t>7.28</w:t>
            </w:r>
          </w:p>
        </w:tc>
        <w:tc>
          <w:tcPr>
            <w:tcW w:w="1505" w:type="dxa"/>
            <w:vAlign w:val="center"/>
          </w:tcPr>
          <w:p>
            <w:pPr>
              <w:snapToGrid w:val="0"/>
              <w:spacing w:line="280" w:lineRule="exact"/>
              <w:jc w:val="left"/>
              <w:rPr>
                <w:b/>
                <w:sz w:val="20"/>
              </w:rPr>
            </w:pPr>
            <w:r>
              <w:rPr>
                <w:rFonts w:hint="eastAsia"/>
                <w:b/>
                <w:sz w:val="20"/>
                <w:lang w:val="en-US" w:eastAsia="zh-CN"/>
              </w:rPr>
              <w:t>14:30-18:00</w:t>
            </w:r>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三、</w:t>
            </w:r>
            <w:r>
              <w:rPr>
                <w:rFonts w:hint="eastAsia" w:ascii="Times New Roman" w:hAnsi="Times New Roman" w:eastAsia="宋体" w:cs="Times New Roman"/>
                <w:b w:val="0"/>
                <w:bCs/>
                <w:kern w:val="2"/>
                <w:sz w:val="20"/>
                <w:szCs w:val="20"/>
                <w:u w:val="none"/>
                <w:shd w:val="clear"/>
                <w:lang w:val="en-US" w:eastAsia="en-US" w:bidi="ar-SA"/>
              </w:rPr>
              <w:t>EnMS</w:t>
            </w:r>
            <w:r>
              <w:rPr>
                <w:rFonts w:hint="eastAsia" w:ascii="Times New Roman" w:hAnsi="Times New Roman" w:eastAsia="宋体" w:cs="Times New Roman"/>
                <w:b w:val="0"/>
                <w:bCs/>
                <w:kern w:val="2"/>
                <w:sz w:val="20"/>
                <w:szCs w:val="20"/>
                <w:u w:val="none"/>
                <w:shd w:val="clear"/>
                <w:lang w:val="en-US" w:eastAsia="zh-CN" w:bidi="ar-SA"/>
              </w:rPr>
              <w:t>运行情况：</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查看能源评审报告的编制</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了解能源使用种类</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查看确定主要能源使用及识别影响主要能源使用的相关变量的合理性</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了解能源绩效改进和控制措施的实施</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5、</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了解适用的环境法律和其他要求的获取、识别程序实施情况和合规性评价</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6、</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查看合规性证明（新扩建的节能评估、节能效果监测或后评估报告、国家限额 标准符合性、地方政府下达目标指标的符合性）</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7、</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了解能源计量管理、计量器具配备率、准确度等</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8、</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了解主要耗能设备能效测试</w:t>
            </w:r>
          </w:p>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9、</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了解高耗能淘汰落后设备的识别和更新情况</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80" w:line="240" w:lineRule="auto"/>
              <w:ind w:left="0" w:leftChars="0" w:right="0" w:rightChars="0" w:firstLine="0" w:firstLineChars="0"/>
              <w:jc w:val="left"/>
              <w:rPr>
                <w:rFonts w:hint="default" w:ascii="Times New Roman" w:hAnsi="Times New Roman" w:eastAsia="宋体" w:cs="Times New Roman"/>
                <w:b/>
                <w:kern w:val="2"/>
                <w:sz w:val="20"/>
                <w:szCs w:val="20"/>
                <w:u w:val="none"/>
                <w:shd w:val="clear"/>
                <w:lang w:val="en-US" w:eastAsia="zh-CN" w:bidi="ar-SA"/>
              </w:rPr>
            </w:pPr>
            <w:r>
              <w:rPr>
                <w:rFonts w:hint="eastAsia" w:ascii="Times New Roman" w:hAnsi="Times New Roman" w:eastAsia="宋体" w:cs="Times New Roman"/>
                <w:b/>
                <w:kern w:val="2"/>
                <w:sz w:val="20"/>
                <w:szCs w:val="20"/>
                <w:u w:val="none"/>
                <w:shd w:val="clear"/>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2021.</w:t>
            </w:r>
          </w:p>
          <w:p>
            <w:pPr>
              <w:snapToGrid w:val="0"/>
              <w:spacing w:line="280" w:lineRule="exact"/>
              <w:jc w:val="left"/>
              <w:rPr>
                <w:rFonts w:hint="default" w:eastAsia="宋体"/>
                <w:b/>
                <w:sz w:val="20"/>
                <w:lang w:val="en-US" w:eastAsia="zh-CN"/>
              </w:rPr>
            </w:pPr>
            <w:r>
              <w:rPr>
                <w:rFonts w:hint="eastAsia"/>
                <w:b/>
                <w:sz w:val="20"/>
                <w:lang w:val="en-US" w:eastAsia="zh-CN"/>
              </w:rPr>
              <w:t>7.29</w:t>
            </w: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665" w:type="dxa"/>
            <w:vAlign w:val="bottom"/>
          </w:tcPr>
          <w:p>
            <w:pPr>
              <w:pStyle w:val="12"/>
              <w:keepNext w:val="0"/>
              <w:keepLines w:val="0"/>
              <w:widowControl w:val="0"/>
              <w:shd w:val="clear" w:color="auto" w:fill="auto"/>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四、</w:t>
            </w:r>
            <w:r>
              <w:rPr>
                <w:rFonts w:hint="eastAsia" w:ascii="Times New Roman" w:hAnsi="Times New Roman" w:eastAsia="宋体" w:cs="Times New Roman"/>
                <w:b w:val="0"/>
                <w:bCs/>
                <w:kern w:val="2"/>
                <w:sz w:val="20"/>
                <w:szCs w:val="20"/>
                <w:u w:val="none"/>
                <w:shd w:val="clear"/>
                <w:lang w:val="en-US" w:eastAsia="en-US" w:bidi="ar-SA"/>
              </w:rPr>
              <w:t>EnMS</w:t>
            </w:r>
            <w:r>
              <w:rPr>
                <w:rFonts w:hint="eastAsia" w:ascii="Times New Roman" w:hAnsi="Times New Roman" w:eastAsia="宋体" w:cs="Times New Roman"/>
                <w:b w:val="0"/>
                <w:bCs/>
                <w:kern w:val="2"/>
                <w:sz w:val="20"/>
                <w:szCs w:val="20"/>
                <w:u w:val="none"/>
                <w:shd w:val="clear"/>
                <w:lang w:val="en-US" w:eastAsia="zh-CN" w:bidi="ar-SA"/>
              </w:rPr>
              <w:t>场所巡査：</w:t>
            </w:r>
          </w:p>
          <w:p>
            <w:pPr>
              <w:pStyle w:val="12"/>
              <w:keepNext w:val="0"/>
              <w:keepLines w:val="0"/>
              <w:widowControl w:val="0"/>
              <w:shd w:val="clear" w:color="auto" w:fill="auto"/>
              <w:tabs>
                <w:tab w:val="left" w:pos="254"/>
              </w:tabs>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1、</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巡视生产区域（厂区、车间等主要能源使用区域）</w:t>
            </w:r>
          </w:p>
          <w:p>
            <w:pPr>
              <w:pStyle w:val="12"/>
              <w:keepNext w:val="0"/>
              <w:keepLines w:val="0"/>
              <w:widowControl w:val="0"/>
              <w:shd w:val="clear" w:color="auto" w:fill="auto"/>
              <w:tabs>
                <w:tab w:val="left" w:pos="264"/>
              </w:tabs>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2、</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巡视动力设施和辅助设施（锅炉房、高低压配电室、空压站、制冷站、改建/扩 建施工现场等）</w:t>
            </w:r>
          </w:p>
          <w:p>
            <w:pPr>
              <w:pStyle w:val="12"/>
              <w:keepNext w:val="0"/>
              <w:keepLines w:val="0"/>
              <w:widowControl w:val="0"/>
              <w:shd w:val="clear" w:color="auto" w:fill="auto"/>
              <w:tabs>
                <w:tab w:val="left" w:pos="269"/>
              </w:tabs>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3、</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现场核实能源计量的管理</w:t>
            </w:r>
          </w:p>
          <w:p>
            <w:pPr>
              <w:pStyle w:val="12"/>
              <w:keepNext w:val="0"/>
              <w:keepLines w:val="0"/>
              <w:widowControl w:val="0"/>
              <w:shd w:val="clear" w:color="auto" w:fill="auto"/>
              <w:tabs>
                <w:tab w:val="left" w:pos="269"/>
              </w:tabs>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4、</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观察节能设施运行情况</w:t>
            </w:r>
          </w:p>
          <w:p>
            <w:pPr>
              <w:pStyle w:val="12"/>
              <w:keepNext w:val="0"/>
              <w:keepLines w:val="0"/>
              <w:widowControl w:val="0"/>
              <w:shd w:val="clear" w:color="auto" w:fill="auto"/>
              <w:tabs>
                <w:tab w:val="left" w:pos="269"/>
              </w:tabs>
              <w:bidi w:val="0"/>
              <w:spacing w:before="0" w:after="0" w:line="288" w:lineRule="exact"/>
              <w:ind w:left="0" w:right="0" w:firstLine="0"/>
              <w:jc w:val="left"/>
              <w:rPr>
                <w:rFonts w:hint="eastAsia" w:ascii="Times New Roman" w:hAnsi="Times New Roman" w:eastAsia="宋体" w:cs="Times New Roman"/>
                <w:b w:val="0"/>
                <w:bCs/>
                <w:kern w:val="2"/>
                <w:sz w:val="20"/>
                <w:szCs w:val="20"/>
                <w:u w:val="none"/>
                <w:shd w:val="clear"/>
                <w:lang w:val="en-US" w:eastAsia="zh-CN" w:bidi="ar-SA"/>
              </w:rPr>
            </w:pPr>
            <w:r>
              <w:rPr>
                <w:rFonts w:hint="eastAsia" w:ascii="Times New Roman" w:hAnsi="Times New Roman" w:eastAsia="宋体" w:cs="Times New Roman"/>
                <w:b w:val="0"/>
                <w:bCs/>
                <w:kern w:val="2"/>
                <w:sz w:val="20"/>
                <w:szCs w:val="20"/>
                <w:u w:val="none"/>
                <w:shd w:val="clear"/>
                <w:lang w:val="en-US" w:eastAsia="zh-CN" w:bidi="ar-SA"/>
              </w:rPr>
              <w:t>5、</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观察监视和测量设备的种类并了解检定/校准情况</w:t>
            </w:r>
          </w:p>
          <w:p>
            <w:pPr>
              <w:pStyle w:val="12"/>
              <w:keepNext w:val="0"/>
              <w:keepLines w:val="0"/>
              <w:widowControl w:val="0"/>
              <w:shd w:val="clear" w:color="auto" w:fill="auto"/>
              <w:tabs>
                <w:tab w:val="left" w:pos="269"/>
              </w:tabs>
              <w:bidi w:val="0"/>
              <w:spacing w:before="0" w:after="0" w:line="288" w:lineRule="exact"/>
              <w:ind w:left="0" w:leftChars="0" w:right="0" w:rightChars="0" w:firstLine="0" w:firstLineChars="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6、</w:t>
            </w:r>
            <w:r>
              <w:rPr>
                <w:rFonts w:hint="eastAsia" w:ascii="Times New Roman" w:hAnsi="Times New Roman" w:eastAsia="宋体" w:cs="Times New Roman"/>
                <w:b w:val="0"/>
                <w:bCs/>
                <w:kern w:val="2"/>
                <w:sz w:val="20"/>
                <w:szCs w:val="20"/>
                <w:u w:val="none"/>
                <w:shd w:val="clear"/>
                <w:lang w:val="en-US" w:eastAsia="zh-CN" w:bidi="ar-SA"/>
              </w:rPr>
              <w:tab/>
            </w:r>
            <w:r>
              <w:rPr>
                <w:rFonts w:hint="eastAsia" w:ascii="Times New Roman" w:hAnsi="Times New Roman" w:eastAsia="宋体" w:cs="Times New Roman"/>
                <w:b w:val="0"/>
                <w:bCs/>
                <w:kern w:val="2"/>
                <w:sz w:val="20"/>
                <w:szCs w:val="20"/>
                <w:u w:val="none"/>
                <w:shd w:val="clear"/>
                <w:lang w:val="en-US" w:eastAsia="zh-CN" w:bidi="ar-SA"/>
              </w:rPr>
              <w:t>观察现场能源的跑冒滴漏现象</w:t>
            </w:r>
          </w:p>
        </w:tc>
        <w:tc>
          <w:tcPr>
            <w:tcW w:w="1196" w:type="dxa"/>
            <w:tcBorders>
              <w:right w:val="single" w:color="auto" w:sz="8" w:space="0"/>
            </w:tcBorders>
            <w:vAlign w:val="center"/>
          </w:tcPr>
          <w:p>
            <w:pPr>
              <w:pStyle w:val="12"/>
              <w:keepNext w:val="0"/>
              <w:keepLines w:val="0"/>
              <w:widowControl w:val="0"/>
              <w:shd w:val="clear" w:color="auto" w:fill="auto"/>
              <w:bidi w:val="0"/>
              <w:spacing w:before="0" w:after="80" w:line="240" w:lineRule="auto"/>
              <w:ind w:left="0" w:leftChars="0" w:right="0" w:rightChars="0" w:firstLine="0" w:firstLineChars="0"/>
              <w:jc w:val="left"/>
              <w:rPr>
                <w:rFonts w:hint="default" w:ascii="Times New Roman" w:hAnsi="Times New Roman" w:eastAsia="宋体" w:cs="Times New Roman"/>
                <w:b/>
                <w:kern w:val="2"/>
                <w:sz w:val="20"/>
                <w:szCs w:val="20"/>
                <w:u w:val="none"/>
                <w:shd w:val="clear"/>
                <w:lang w:val="en-US" w:eastAsia="zh-CN" w:bidi="ar-SA"/>
              </w:rPr>
            </w:pPr>
            <w:r>
              <w:rPr>
                <w:rFonts w:hint="eastAsia" w:ascii="Times New Roman" w:hAnsi="Times New Roman" w:eastAsia="宋体" w:cs="Times New Roman"/>
                <w:b/>
                <w:kern w:val="2"/>
                <w:sz w:val="20"/>
                <w:szCs w:val="20"/>
                <w:u w:val="none"/>
                <w:shd w:val="clear"/>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2021.</w:t>
            </w:r>
          </w:p>
          <w:p>
            <w:pPr>
              <w:snapToGrid w:val="0"/>
              <w:spacing w:line="280" w:lineRule="exact"/>
              <w:jc w:val="left"/>
              <w:rPr>
                <w:b/>
                <w:sz w:val="20"/>
              </w:rPr>
            </w:pPr>
            <w:r>
              <w:rPr>
                <w:rFonts w:hint="eastAsia"/>
                <w:b/>
                <w:sz w:val="20"/>
                <w:lang w:val="en-US" w:eastAsia="zh-CN"/>
              </w:rPr>
              <w:t>7.29</w:t>
            </w: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665"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val="0"/>
                <w:bCs/>
                <w:kern w:val="2"/>
                <w:sz w:val="20"/>
                <w:szCs w:val="20"/>
                <w:u w:val="none"/>
                <w:shd w:val="clear"/>
                <w:lang w:val="zh-TW" w:eastAsia="zh-TW" w:bidi="ar-SA"/>
              </w:rPr>
            </w:pPr>
            <w:r>
              <w:rPr>
                <w:rFonts w:hint="eastAsia" w:ascii="Times New Roman" w:hAnsi="Times New Roman" w:eastAsia="宋体" w:cs="Times New Roman"/>
                <w:b w:val="0"/>
                <w:bCs/>
                <w:kern w:val="2"/>
                <w:sz w:val="20"/>
                <w:szCs w:val="20"/>
                <w:u w:val="none"/>
                <w:shd w:val="clear"/>
                <w:lang w:val="en-US" w:eastAsia="zh-CN" w:bidi="ar-SA"/>
              </w:rPr>
              <w:t>末次会议</w:t>
            </w:r>
          </w:p>
        </w:tc>
        <w:tc>
          <w:tcPr>
            <w:tcW w:w="1196" w:type="dxa"/>
            <w:tcBorders>
              <w:right w:val="single" w:color="auto" w:sz="8" w:space="0"/>
            </w:tcBorders>
            <w:vAlign w:val="bottom"/>
          </w:tcPr>
          <w:p>
            <w:pPr>
              <w:pStyle w:val="12"/>
              <w:keepNext w:val="0"/>
              <w:keepLines w:val="0"/>
              <w:widowControl w:val="0"/>
              <w:shd w:val="clear" w:color="auto" w:fill="auto"/>
              <w:bidi w:val="0"/>
              <w:spacing w:before="0" w:after="0" w:line="283" w:lineRule="exact"/>
              <w:ind w:left="0" w:leftChars="0" w:right="0" w:rightChars="0" w:firstLine="0" w:firstLineChars="0"/>
              <w:jc w:val="left"/>
              <w:rPr>
                <w:rFonts w:hint="default" w:ascii="Times New Roman" w:hAnsi="Times New Roman" w:eastAsia="宋体" w:cs="Times New Roman"/>
                <w:b/>
                <w:kern w:val="2"/>
                <w:sz w:val="20"/>
                <w:szCs w:val="20"/>
                <w:u w:val="none"/>
                <w:shd w:val="clear"/>
                <w:lang w:val="en-US" w:eastAsia="zh-CN" w:bidi="ar-SA"/>
              </w:rPr>
            </w:pPr>
            <w:r>
              <w:rPr>
                <w:rFonts w:hint="eastAsia" w:ascii="Times New Roman" w:hAnsi="Times New Roman" w:cs="Times New Roman"/>
                <w:b/>
                <w:kern w:val="2"/>
                <w:sz w:val="20"/>
                <w:szCs w:val="20"/>
                <w:u w:val="none"/>
                <w:shd w:val="clear"/>
                <w:lang w:val="en-US" w:eastAsia="zh-CN" w:bidi="ar-SA"/>
              </w:rPr>
              <w:t>A</w:t>
            </w:r>
            <w:r>
              <w:rPr>
                <w:rFonts w:hint="eastAsia" w:ascii="Times New Roman" w:hAnsi="Times New Roman" w:eastAsia="宋体" w:cs="Times New Roman"/>
                <w:b/>
                <w:kern w:val="2"/>
                <w:sz w:val="20"/>
                <w:szCs w:val="20"/>
                <w:u w:val="none"/>
                <w:shd w:val="clear"/>
                <w:lang w:val="en-US" w:eastAsia="zh-CN" w:bidi="ar-SA"/>
              </w:rPr>
              <w:t>BC</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2027E"/>
    <w:rsid w:val="0A691598"/>
    <w:rsid w:val="41CE65B9"/>
    <w:rsid w:val="73685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Oth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2021-07-30T07:53:27Z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5C77900D6BA740E1B5DA56D2DDE553FF</vt:lpwstr>
  </property>
</Properties>
</file>