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成都长宏途腾家具有限公司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Q:23.01.01</w:t>
            </w:r>
          </w:p>
          <w:p>
            <w:pPr>
              <w:spacing w:line="240" w:lineRule="exact"/>
              <w:jc w:val="center"/>
              <w:rPr>
                <w:b/>
                <w:color w:val="000000"/>
                <w:sz w:val="20"/>
                <w:szCs w:val="20"/>
              </w:rPr>
            </w:pPr>
            <w:r>
              <w:rPr>
                <w:b/>
                <w:color w:val="000000"/>
                <w:sz w:val="20"/>
                <w:szCs w:val="20"/>
              </w:rPr>
              <w:t>E:23.01.01</w:t>
            </w:r>
          </w:p>
          <w:p>
            <w:pPr>
              <w:spacing w:line="240" w:lineRule="exact"/>
              <w:jc w:val="center"/>
              <w:rPr>
                <w:b/>
                <w:color w:val="000000"/>
                <w:sz w:val="20"/>
                <w:szCs w:val="20"/>
              </w:rPr>
            </w:pPr>
            <w:r>
              <w:rPr>
                <w:b/>
                <w:color w:val="000000"/>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pacing w:val="-1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成都长宏途腾家具有限公司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成都市双流区西南航空经济开发区杨桥路408号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四川省成都市双流区彭光荣路217号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付正英</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15308064362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付正英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罗梅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229055145@qq.com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Q：办公家具的组装及销售</w:t>
            </w:r>
          </w:p>
          <w:p>
            <w:pPr>
              <w:spacing w:line="400" w:lineRule="exact"/>
              <w:rPr>
                <w:rFonts w:ascii="宋体" w:hAnsi="宋体"/>
                <w:b/>
                <w:color w:val="000000"/>
                <w:sz w:val="20"/>
                <w:szCs w:val="20"/>
              </w:rPr>
            </w:pPr>
            <w:r>
              <w:rPr>
                <w:rFonts w:ascii="宋体" w:hAnsi="宋体"/>
                <w:b/>
                <w:color w:val="000000"/>
                <w:sz w:val="20"/>
                <w:szCs w:val="20"/>
              </w:rPr>
              <w:t>E：办公家具的组装及销售所涉及场所的相关环境管理活动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O：办公家具的组装及销售所涉及场所的相关职业健康安全管理活动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Q：23.01.01</w:t>
            </w:r>
          </w:p>
          <w:p>
            <w:pPr>
              <w:spacing w:line="280" w:lineRule="exact"/>
              <w:rPr>
                <w:rFonts w:ascii="宋体"/>
                <w:b/>
                <w:color w:val="000000"/>
                <w:sz w:val="20"/>
                <w:szCs w:val="20"/>
              </w:rPr>
            </w:pPr>
            <w:r>
              <w:rPr>
                <w:rFonts w:ascii="宋体"/>
                <w:b/>
                <w:color w:val="000000"/>
                <w:sz w:val="20"/>
                <w:szCs w:val="20"/>
              </w:rPr>
              <w:t>E：23.01.01</w:t>
            </w:r>
          </w:p>
          <w:p>
            <w:pPr>
              <w:spacing w:line="280" w:lineRule="exact"/>
              <w:rPr>
                <w:rFonts w:ascii="宋体"/>
                <w:b/>
                <w:color w:val="000000"/>
                <w:sz w:val="20"/>
                <w:szCs w:val="20"/>
              </w:rPr>
            </w:pPr>
            <w:r>
              <w:rPr>
                <w:rFonts w:ascii="宋体"/>
                <w:b/>
                <w:color w:val="000000"/>
                <w:sz w:val="20"/>
                <w:szCs w:val="20"/>
              </w:rPr>
              <w:t>O：23.01.01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行政部、市场部、生产部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0"/>
              </w:rPr>
              <w:t>办公家具</w:t>
            </w:r>
          </w:p>
          <w:p>
            <w:pPr>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24" w:name="生产地址"/>
            <w:r>
              <w:t>四川省成都市双流区彭光荣路217号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pStyle w:val="3"/>
              <w:keepNext w:val="0"/>
              <w:keepLines w:val="0"/>
              <w:widowControl/>
              <w:suppressLineNumbers w:val="0"/>
              <w:shd w:val="clear" w:color="auto" w:fill="FFFFFF"/>
              <w:ind w:left="0" w:firstLine="0"/>
              <w:jc w:val="both"/>
              <w:rPr>
                <w:rFonts w:ascii="宋体"/>
                <w:color w:val="000000"/>
                <w:spacing w:val="-10"/>
                <w:sz w:val="20"/>
                <w:szCs w:val="20"/>
              </w:rPr>
            </w:pPr>
            <w:r>
              <w:rPr>
                <w:rFonts w:hint="eastAsia" w:ascii="黑体" w:hAnsi="黑体" w:eastAsia="黑体" w:cs="黑体"/>
                <w:color w:val="000000"/>
                <w:spacing w:val="-10"/>
                <w:sz w:val="20"/>
                <w:szCs w:val="20"/>
                <w:highlight w:val="none"/>
              </w:rPr>
              <w:t>■</w:t>
            </w:r>
            <w:r>
              <w:rPr>
                <w:rFonts w:hint="eastAsia" w:ascii="宋体" w:hAnsi="宋体"/>
                <w:color w:val="000000"/>
                <w:spacing w:val="-10"/>
                <w:sz w:val="20"/>
                <w:szCs w:val="20"/>
                <w:highlight w:val="none"/>
              </w:rPr>
              <w:t>产品技术标准号：</w:t>
            </w:r>
            <w:r>
              <w:rPr>
                <w:rFonts w:hint="eastAsia" w:ascii="宋体" w:hAnsi="宋体" w:eastAsia="宋体" w:cs="Times New Roman"/>
                <w:b w:val="0"/>
                <w:bCs w:val="0"/>
                <w:kern w:val="2"/>
                <w:sz w:val="21"/>
                <w:szCs w:val="21"/>
                <w:highlight w:val="none"/>
                <w:lang w:val="en-US" w:eastAsia="zh-CN" w:bidi="ar-SA"/>
              </w:rPr>
              <w:t>家具力学性能试验 椅、凳类稳定性GB/T 10357.2-1989、家具力学性能试验 椅、凳类强度和耐久性GB/T 10357.3-1989、家具 桌、椅、凳类主要尺寸GB/T 3326-1997合同协议等。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highlight w:val="none"/>
              </w:rPr>
              <w:t>污水排入城镇下水道水质标准（</w:t>
            </w:r>
            <w:r>
              <w:rPr>
                <w:rFonts w:ascii="宋体" w:hAnsi="宋体"/>
                <w:szCs w:val="21"/>
                <w:highlight w:val="none"/>
              </w:rPr>
              <w:t>GB/T 31962-2015</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szCs w:val="21"/>
                <w:highlight w:val="none"/>
              </w:rPr>
            </w:pPr>
            <w:r>
              <w:rPr>
                <w:rFonts w:hint="eastAsia" w:ascii="宋体" w:hAnsi="宋体"/>
                <w:szCs w:val="21"/>
                <w:highlight w:val="none"/>
                <w:lang w:val="en-US" w:eastAsia="zh-CN"/>
              </w:rPr>
              <w:t>工艺</w:t>
            </w:r>
            <w:r>
              <w:rPr>
                <w:rFonts w:hint="eastAsia" w:ascii="宋体" w:hAnsi="宋体"/>
                <w:szCs w:val="21"/>
                <w:highlight w:val="none"/>
                <w:lang w:eastAsia="zh-CN"/>
              </w:rPr>
              <w:t>流程</w:t>
            </w:r>
            <w:r>
              <w:rPr>
                <w:rFonts w:hint="eastAsia" w:ascii="宋体" w:hAnsi="宋体"/>
                <w:szCs w:val="21"/>
                <w:highlight w:val="none"/>
              </w:rPr>
              <w:t>：</w:t>
            </w:r>
          </w:p>
          <w:p>
            <w:pPr>
              <w:spacing w:line="360" w:lineRule="auto"/>
              <w:rPr>
                <w:rFonts w:hint="eastAsia" w:ascii="宋体" w:hAnsi="宋体" w:eastAsia="宋体" w:cs="Times New Roman"/>
                <w:szCs w:val="21"/>
                <w:highlight w:val="none"/>
              </w:rPr>
            </w:pPr>
            <w:r>
              <w:rPr>
                <w:rFonts w:hint="eastAsia"/>
                <w:szCs w:val="21"/>
              </w:rPr>
              <w:t xml:space="preserve"> </w:t>
            </w:r>
            <w:r>
              <w:t>办公家具的</w:t>
            </w:r>
            <w:r>
              <w:rPr>
                <w:rFonts w:hint="eastAsia"/>
                <w:lang w:val="en-US" w:eastAsia="zh-CN"/>
              </w:rPr>
              <w:t>生产流程：配料</w:t>
            </w:r>
            <w:r>
              <w:rPr>
                <w:rFonts w:hint="default" w:ascii="Arial" w:hAnsi="Arial" w:cs="Arial"/>
                <w:lang w:val="en-US" w:eastAsia="zh-CN"/>
              </w:rPr>
              <w:t>→</w:t>
            </w:r>
            <w:r>
              <w:rPr>
                <w:rFonts w:hint="eastAsia" w:ascii="Arial" w:hAnsi="Arial" w:cs="Arial"/>
                <w:lang w:val="en-US" w:eastAsia="zh-CN"/>
              </w:rPr>
              <w:t>组装（部分试装，在客户处组装）</w:t>
            </w:r>
            <w:r>
              <w:rPr>
                <w:rFonts w:hint="default" w:ascii="Arial" w:hAnsi="Arial" w:cs="Arial"/>
                <w:lang w:val="en-US" w:eastAsia="zh-CN"/>
              </w:rPr>
              <w:t>→</w:t>
            </w:r>
            <w:r>
              <w:rPr>
                <w:rFonts w:hint="eastAsia" w:ascii="Arial" w:hAnsi="Arial" w:cs="Arial"/>
                <w:lang w:val="en-US" w:eastAsia="zh-CN"/>
              </w:rPr>
              <w:t>检验</w:t>
            </w:r>
            <w:r>
              <w:rPr>
                <w:rFonts w:hint="default" w:ascii="Arial" w:hAnsi="Arial" w:cs="Arial"/>
                <w:lang w:val="en-US" w:eastAsia="zh-CN"/>
              </w:rPr>
              <w:t>→</w:t>
            </w:r>
            <w:r>
              <w:rPr>
                <w:rFonts w:hint="eastAsia" w:ascii="Arial" w:hAnsi="Arial" w:cs="Arial"/>
                <w:lang w:val="en-US" w:eastAsia="zh-CN"/>
              </w:rPr>
              <w:t>包装入库</w:t>
            </w:r>
          </w:p>
          <w:p>
            <w:pPr>
              <w:rPr>
                <w:rFonts w:hint="default" w:ascii="宋体" w:eastAsia="宋体"/>
                <w:color w:val="000000"/>
                <w:sz w:val="20"/>
                <w:szCs w:val="20"/>
                <w:lang w:val="en-US" w:eastAsia="zh-CN"/>
              </w:rPr>
            </w:pPr>
            <w:r>
              <w:rPr>
                <w:rFonts w:hint="eastAsia" w:ascii="宋体" w:hAnsi="宋体" w:eastAsia="宋体" w:cs="Times New Roman"/>
                <w:szCs w:val="21"/>
                <w:highlight w:val="none"/>
              </w:rPr>
              <w:t>需确认过程：</w:t>
            </w:r>
            <w:r>
              <w:rPr>
                <w:rFonts w:hint="eastAsia" w:ascii="宋体" w:hAnsi="宋体" w:eastAsia="宋体" w:cs="Times New Roman"/>
                <w:szCs w:val="21"/>
                <w:highlight w:val="none"/>
                <w:lang w:val="en-US" w:eastAsia="zh-CN"/>
              </w:rPr>
              <w:t>无</w:t>
            </w: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w:t>
            </w:r>
            <w:r>
              <w:rPr>
                <w:rFonts w:hint="eastAsia" w:ascii="宋体" w:hAnsi="宋体"/>
                <w:color w:val="000000"/>
                <w:spacing w:val="-10"/>
                <w:sz w:val="20"/>
                <w:szCs w:val="20"/>
                <w:highlight w:val="none"/>
              </w:rPr>
              <w:t>备：</w:t>
            </w:r>
            <w:r>
              <w:rPr>
                <w:rFonts w:hint="eastAsia" w:ascii="宋体" w:hAnsi="宋体" w:cs="宋体"/>
                <w:sz w:val="21"/>
                <w:szCs w:val="21"/>
                <w:highlight w:val="none"/>
              </w:rPr>
              <w:t>精密推台锯、冷压机、封边机、木工带锯机多排多轴钻床</w:t>
            </w:r>
            <w:r>
              <w:rPr>
                <w:rFonts w:hint="eastAsia" w:ascii="宋体" w:hAnsi="宋体" w:cs="宋体"/>
                <w:szCs w:val="21"/>
                <w:highlight w:val="none"/>
                <w:lang w:val="en-US" w:eastAsia="zh-CN"/>
              </w:rPr>
              <w:t>电脑及</w:t>
            </w:r>
            <w:r>
              <w:rPr>
                <w:rFonts w:hint="eastAsia" w:ascii="宋体" w:hAnsi="宋体" w:cs="宋体"/>
                <w:szCs w:val="21"/>
                <w:highlight w:val="none"/>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tabs>
                <w:tab w:val="center" w:pos="3605"/>
              </w:tabs>
              <w:rPr>
                <w:rFonts w:hint="eastAsia" w:ascii="宋体" w:eastAsia="宋体"/>
                <w:color w:val="000000"/>
                <w:sz w:val="20"/>
                <w:szCs w:val="20"/>
                <w:highlight w:val="none"/>
                <w:lang w:eastAsia="zh-CN"/>
              </w:rPr>
            </w:pPr>
            <w:r>
              <w:rPr>
                <w:rFonts w:hint="eastAsia" w:ascii="宋体" w:hAnsi="宋体"/>
                <w:color w:val="000000"/>
                <w:sz w:val="20"/>
                <w:szCs w:val="20"/>
                <w:highlight w:val="none"/>
              </w:rPr>
              <w:t>特种设备是否按规定检定</w:t>
            </w:r>
            <w:r>
              <w:rPr>
                <w:rFonts w:hint="eastAsia" w:ascii="黑体" w:hAnsi="黑体" w:eastAsia="黑体" w:cs="黑体"/>
                <w:color w:val="000000"/>
                <w:spacing w:val="-10"/>
                <w:sz w:val="20"/>
                <w:szCs w:val="20"/>
                <w:highlight w:val="none"/>
              </w:rPr>
              <w:t>■</w:t>
            </w:r>
            <w:r>
              <w:rPr>
                <w:rFonts w:hint="eastAsia" w:ascii="宋体" w:hAnsi="宋体"/>
                <w:color w:val="000000"/>
                <w:sz w:val="20"/>
                <w:szCs w:val="20"/>
                <w:highlight w:val="none"/>
              </w:rPr>
              <w:t>是□否</w:t>
            </w:r>
            <w:r>
              <w:rPr>
                <w:rFonts w:hint="eastAsia" w:ascii="宋体" w:hAnsi="宋体"/>
                <w:color w:val="000000"/>
                <w:sz w:val="20"/>
                <w:szCs w:val="20"/>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szCs w:val="21"/>
                <w:highlight w:val="none"/>
              </w:rPr>
              <w:t>，采取以供方出具的产品检测报告为验收依据，进行核验，最终产品质量由顾客确认，暂未配置检测设备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黑体" w:hAnsi="黑体" w:eastAsia="黑体" w:cs="黑体"/>
                <w:color w:val="000000"/>
                <w:spacing w:val="-10"/>
                <w:sz w:val="20"/>
                <w:szCs w:val="20"/>
                <w:highlight w:val="none"/>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sz w:val="20"/>
                <w:szCs w:val="20"/>
              </w:rPr>
              <w:t>潜在火灾、固废排放</w:t>
            </w:r>
            <w:r>
              <w:rPr>
                <w:rFonts w:hint="eastAsia" w:ascii="宋体"/>
                <w:sz w:val="20"/>
                <w:szCs w:val="20"/>
                <w:lang w:eastAsia="zh-CN"/>
              </w:rPr>
              <w:t>、</w:t>
            </w:r>
            <w:r>
              <w:rPr>
                <w:rFonts w:hint="eastAsia" w:ascii="宋体"/>
                <w:sz w:val="20"/>
                <w:szCs w:val="20"/>
                <w:lang w:val="en-US" w:eastAsia="zh-CN"/>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Times New Roman" w:eastAsia="宋体" w:cs="Times New Roman"/>
                <w:color w:val="000000"/>
                <w:sz w:val="20"/>
                <w:szCs w:val="20"/>
              </w:rPr>
              <w:t>有（1）环境因素识别与评价控制程序</w:t>
            </w:r>
            <w:r>
              <w:rPr>
                <w:rFonts w:hint="eastAsia" w:ascii="宋体" w:hAnsi="Times New Roman" w:eastAsia="宋体" w:cs="Times New Roman"/>
                <w:color w:val="000000"/>
                <w:sz w:val="20"/>
                <w:szCs w:val="20"/>
                <w:lang w:val="en-US" w:eastAsia="zh-CN"/>
              </w:rPr>
              <w:t>；</w:t>
            </w:r>
            <w:r>
              <w:rPr>
                <w:rFonts w:hint="eastAsia" w:ascii="宋体" w:hAnsi="Times New Roman" w:eastAsia="宋体" w:cs="Times New Roman"/>
                <w:color w:val="000000"/>
                <w:sz w:val="20"/>
                <w:szCs w:val="20"/>
              </w:rPr>
              <w:t>（2）环境运行控制程序；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sz w:val="20"/>
                <w:szCs w:val="20"/>
                <w:lang w:val="en-US" w:eastAsia="zh-CN"/>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有（1）</w:t>
            </w:r>
            <w:r>
              <w:rPr>
                <w:rFonts w:hint="eastAsia" w:ascii="宋体" w:hAnsi="Times New Roman" w:eastAsia="宋体" w:cs="Times New Roman"/>
                <w:color w:val="000000"/>
                <w:sz w:val="20"/>
                <w:szCs w:val="20"/>
              </w:rPr>
              <w:t>危险源辨识、风险评价和风险控制程序职业健康安全运行控制程序；（2）职业健康安全运行控制程序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pacing w:val="-10"/>
                <w:sz w:val="20"/>
                <w:szCs w:val="20"/>
              </w:rPr>
              <w:t>■</w:t>
            </w:r>
            <w:r>
              <w:rPr>
                <w:rFonts w:hint="eastAsia" w:ascii="宋体"/>
                <w:color w:val="000000"/>
                <w:sz w:val="20"/>
                <w:szCs w:val="20"/>
              </w:rPr>
              <w:t>是□否，识别是否充分</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pacing w:val="-10"/>
                <w:sz w:val="20"/>
                <w:szCs w:val="20"/>
              </w:rPr>
              <w:t>■</w:t>
            </w:r>
            <w:r>
              <w:rPr>
                <w:rFonts w:hint="eastAsia" w:ascii="宋体"/>
                <w:color w:val="000000"/>
                <w:sz w:val="20"/>
                <w:szCs w:val="20"/>
              </w:rPr>
              <w:t>是□否</w:t>
            </w:r>
            <w:r>
              <w:rPr>
                <w:rFonts w:hint="eastAsia" w:ascii="黑体" w:hAnsi="黑体" w:eastAsia="黑体" w:cs="黑体"/>
                <w:color w:val="000000"/>
                <w:spacing w:val="-1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21</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重点审核过程：产品和服务的控制、顾客满意；产品和服务放行、不合格产品和服务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行政部、市场部、</w:t>
            </w:r>
            <w:r>
              <w:rPr>
                <w:rFonts w:hint="eastAsia" w:ascii="宋体" w:hAnsi="宋体"/>
                <w:b/>
                <w:color w:val="000000"/>
                <w:sz w:val="20"/>
                <w:szCs w:val="20"/>
                <w:lang w:val="en-US" w:eastAsia="zh-CN"/>
              </w:rPr>
              <w:t>生产部</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r>
              <w:rPr>
                <w:rFonts w:hint="eastAsia" w:ascii="宋体" w:hAnsi="宋体"/>
                <w:b/>
                <w:color w:val="000000"/>
                <w:sz w:val="20"/>
                <w:szCs w:val="20"/>
                <w:lang w:val="en-US" w:eastAsia="zh-CN"/>
              </w:rPr>
              <w:t>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bookmarkStart w:id="25" w:name="_GoBack"/>
            <w:bookmarkEnd w:id="25"/>
            <w:r>
              <w:rPr>
                <w:rFonts w:hint="eastAsia" w:ascii="宋体" w:hAnsi="宋体"/>
                <w:szCs w:val="21"/>
              </w:rPr>
              <w:t>日</w:t>
            </w:r>
            <w:r>
              <w:rPr>
                <w:rFonts w:hint="eastAsia"/>
                <w:szCs w:val="21"/>
              </w:rPr>
              <w:t>进行了内部审核。</w:t>
            </w:r>
          </w:p>
          <w:p>
            <w:pPr>
              <w:spacing w:line="260" w:lineRule="exact"/>
              <w:rPr>
                <w:rFonts w:hint="eastAsia" w:ascii="宋体" w:eastAsia="宋体"/>
                <w:b/>
                <w:color w:val="000000"/>
                <w:sz w:val="20"/>
                <w:szCs w:val="20"/>
                <w:lang w:val="en-US" w:eastAsia="zh-CN"/>
              </w:rPr>
            </w:pPr>
            <w:r>
              <w:rPr>
                <w:rFonts w:hint="eastAsia"/>
                <w:szCs w:val="21"/>
              </w:rPr>
              <w:t>内部审核组由：组长A：</w:t>
            </w:r>
            <w:r>
              <w:rPr>
                <w:rFonts w:hint="eastAsia" w:ascii="宋体" w:hAnsi="宋体"/>
                <w:szCs w:val="21"/>
                <w:lang w:val="en-US" w:eastAsia="zh-CN"/>
              </w:rPr>
              <w:t>罗梅</w:t>
            </w:r>
            <w:r>
              <w:rPr>
                <w:rFonts w:hint="eastAsia" w:ascii="宋体" w:hAnsi="宋体"/>
                <w:szCs w:val="21"/>
                <w:lang w:eastAsia="zh-CN"/>
              </w:rPr>
              <w:t xml:space="preserve"> </w:t>
            </w:r>
            <w:r>
              <w:rPr>
                <w:rFonts w:hint="eastAsia"/>
                <w:szCs w:val="21"/>
              </w:rPr>
              <w:t xml:space="preserve"> 组员B：</w:t>
            </w:r>
            <w:r>
              <w:rPr>
                <w:rFonts w:hint="eastAsia"/>
                <w:szCs w:val="21"/>
                <w:lang w:eastAsia="zh-CN"/>
              </w:rPr>
              <w:t>胡良平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0"/>
              </w:numPr>
              <w:spacing w:line="340" w:lineRule="exact"/>
              <w:rPr>
                <w:rFonts w:ascii="仿宋" w:hAnsi="仿宋" w:eastAsia="仿宋"/>
                <w:sz w:val="24"/>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b/>
                <w:color w:val="000000"/>
                <w:sz w:val="20"/>
                <w:szCs w:val="20"/>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4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建立有《管理评审制度》，于2021年</w:t>
            </w:r>
            <w:r>
              <w:rPr>
                <w:rFonts w:hint="eastAsia"/>
                <w:szCs w:val="21"/>
                <w:lang w:val="en-US" w:eastAsia="zh-CN"/>
              </w:rPr>
              <w:t>4</w:t>
            </w:r>
            <w:r>
              <w:rPr>
                <w:rFonts w:hint="eastAsia"/>
                <w:szCs w:val="21"/>
              </w:rPr>
              <w:t>月</w:t>
            </w:r>
            <w:r>
              <w:rPr>
                <w:rFonts w:hint="eastAsia"/>
                <w:szCs w:val="21"/>
                <w:lang w:val="en-US" w:eastAsia="zh-CN"/>
              </w:rPr>
              <w:t>20</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szCs w:val="21"/>
              </w:rPr>
              <w:t>本公司的管理体系与标准的要求一致，体系策划是充分的，体系文件与公司目前的现状相一致，是适宜，体系经过现阶段的运行是有效的。</w:t>
            </w:r>
            <w:r>
              <w:rPr>
                <w:rFonts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color w:val="000000"/>
                <w:spacing w:val="-10"/>
                <w:sz w:val="20"/>
                <w:szCs w:val="20"/>
              </w:rPr>
              <w:t>■</w:t>
            </w:r>
            <w:r>
              <w:rPr>
                <w:rFonts w:ascii="宋体" w:hAnsi="宋体"/>
                <w:b/>
                <w:color w:val="000000"/>
                <w:sz w:val="20"/>
                <w:szCs w:val="20"/>
              </w:rPr>
              <w:t>QMS /</w:t>
            </w:r>
            <w:r>
              <w:rPr>
                <w:rFonts w:hint="eastAsia" w:ascii="黑体" w:hAnsi="黑体" w:eastAsia="黑体" w:cs="黑体"/>
                <w:color w:val="000000"/>
                <w:spacing w:val="-10"/>
                <w:sz w:val="20"/>
                <w:szCs w:val="20"/>
              </w:rPr>
              <w:t>■</w:t>
            </w:r>
            <w:r>
              <w:rPr>
                <w:rFonts w:ascii="宋体" w:hAnsi="宋体"/>
                <w:b/>
                <w:color w:val="000000"/>
                <w:sz w:val="20"/>
                <w:szCs w:val="20"/>
              </w:rPr>
              <w:t>EMS/</w:t>
            </w:r>
            <w:r>
              <w:rPr>
                <w:rFonts w:hint="eastAsia" w:ascii="黑体" w:hAnsi="黑体" w:eastAsia="黑体" w:cs="黑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400" w:lineRule="exact"/>
        <w:jc w:val="both"/>
        <w:rPr>
          <w:rFonts w:hint="default" w:ascii="宋体" w:hAnsi="宋体" w:eastAsia="宋体" w:cs="Times New Roman"/>
          <w:szCs w:val="21"/>
          <w:lang w:val="en-US" w:eastAsia="zh-CN"/>
        </w:rPr>
      </w:pPr>
      <w:r>
        <w:rPr>
          <w:rFonts w:ascii="宋体" w:hAnsi="宋体"/>
          <w:b/>
          <w:color w:val="000000"/>
          <w:sz w:val="20"/>
          <w:szCs w:val="20"/>
        </w:rPr>
        <w:t>QMS:</w:t>
      </w:r>
      <w:r>
        <w:rPr>
          <w:rFonts w:hint="eastAsia" w:ascii="宋体" w:hAnsi="宋体" w:eastAsia="宋体" w:cs="Times New Roman"/>
          <w:b/>
          <w:color w:val="000000"/>
          <w:sz w:val="20"/>
          <w:szCs w:val="20"/>
          <w:u w:val="single"/>
          <w:lang w:val="en-US" w:eastAsia="zh-CN"/>
        </w:rPr>
        <w:t>办公家具的组装及销售。</w:t>
      </w:r>
    </w:p>
    <w:p>
      <w:pPr>
        <w:rPr>
          <w:rFonts w:hint="eastAsia" w:ascii="宋体" w:hAnsi="宋体"/>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eastAsia="宋体" w:cs="Times New Roman"/>
          <w:b/>
          <w:color w:val="000000"/>
          <w:sz w:val="20"/>
          <w:szCs w:val="20"/>
          <w:u w:val="single"/>
          <w:lang w:val="en-US" w:eastAsia="zh-CN"/>
        </w:rPr>
        <w:t>办公家具的组装及销售所涉及场所的相关环境管理活动。</w:t>
      </w:r>
    </w:p>
    <w:p>
      <w:pPr>
        <w:spacing w:line="300" w:lineRule="auto"/>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eastAsia="宋体" w:cs="Times New Roman"/>
          <w:b/>
          <w:color w:val="000000"/>
          <w:sz w:val="20"/>
          <w:szCs w:val="20"/>
          <w:u w:val="single"/>
          <w:lang w:val="en-US" w:eastAsia="zh-CN"/>
        </w:rPr>
        <w:t>办公家具的组装及销售所涉及场所的相关职业健康安全管理活动。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1732280</wp:posOffset>
            </wp:positionH>
            <wp:positionV relativeFrom="paragraph">
              <wp:posOffset>235585</wp:posOffset>
            </wp:positionV>
            <wp:extent cx="495300" cy="5130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95300" cy="5130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6432" behindDoc="0" locked="0" layoutInCell="1" allowOverlap="1">
            <wp:simplePos x="0" y="0"/>
            <wp:positionH relativeFrom="column">
              <wp:posOffset>3419475</wp:posOffset>
            </wp:positionH>
            <wp:positionV relativeFrom="paragraph">
              <wp:posOffset>52705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2447290</wp:posOffset>
            </wp:positionH>
            <wp:positionV relativeFrom="paragraph">
              <wp:posOffset>144780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1734185</wp:posOffset>
            </wp:positionH>
            <wp:positionV relativeFrom="paragraph">
              <wp:posOffset>128270</wp:posOffset>
            </wp:positionV>
            <wp:extent cx="683895" cy="312420"/>
            <wp:effectExtent l="0" t="0" r="1905"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a:stretch>
                      <a:fillRect/>
                    </a:stretch>
                  </pic:blipFill>
                  <pic:spPr>
                    <a:xfrm>
                      <a:off x="0" y="0"/>
                      <a:ext cx="683895" cy="31242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四川佳鑫家具有限公司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551180</wp:posOffset>
                  </wp:positionH>
                  <wp:positionV relativeFrom="paragraph">
                    <wp:posOffset>171450</wp:posOffset>
                  </wp:positionV>
                  <wp:extent cx="495300" cy="513080"/>
                  <wp:effectExtent l="0" t="0" r="0" b="762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495300" cy="513080"/>
                          </a:xfrm>
                          <a:prstGeom prst="rect">
                            <a:avLst/>
                          </a:prstGeom>
                          <a:noFill/>
                          <a:ln w="9525">
                            <a:noFill/>
                            <a:miter lim="800000"/>
                            <a:headEnd/>
                            <a:tailEnd/>
                          </a:ln>
                        </pic:spPr>
                      </pic:pic>
                    </a:graphicData>
                  </a:graphic>
                </wp:anchor>
              </w:drawing>
            </w:r>
            <w:r>
              <w:rPr>
                <w:rFonts w:hint="eastAsia" w:ascii="黑体" w:hAnsi="黑体" w:eastAsia="黑体" w:cs="黑体"/>
                <w:b/>
                <w:color w:val="000000"/>
                <w:spacing w:val="-10"/>
                <w:szCs w:val="21"/>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0128" w:type="dxa"/>
            <w:gridSpan w:val="4"/>
          </w:tcPr>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对一阶段现场审核问题整改结果的验证结论及推荐意见：</w:t>
            </w:r>
          </w:p>
          <w:p>
            <w:pPr>
              <w:spacing w:line="280" w:lineRule="exact"/>
              <w:rPr>
                <w:rFonts w:hint="eastAsia" w:ascii="Times New Roman" w:hAnsi="Times New Roman" w:eastAsia="宋体" w:cs="Times New Roman"/>
                <w:b/>
                <w:color w:val="000000"/>
                <w:spacing w:val="-10"/>
                <w:szCs w:val="21"/>
              </w:rPr>
            </w:pPr>
            <w:r>
              <w:rPr>
                <w:rFonts w:hint="eastAsia" w:ascii="Times New Roman" w:hAnsi="Times New Roman" w:eastAsia="宋体" w:cs="Times New Roman"/>
                <w:b/>
                <w:color w:val="000000"/>
                <w:spacing w:val="-10"/>
                <w:szCs w:val="21"/>
              </w:rPr>
              <w:t>□所有问题全部整改，并符合要求□未按期完成整改□整改后不符合要求，需重新整改.</w:t>
            </w:r>
          </w:p>
          <w:p>
            <w:pPr>
              <w:spacing w:line="280" w:lineRule="exact"/>
            </w:pPr>
            <w:r>
              <w:rPr>
                <w:rFonts w:hint="eastAsia" w:ascii="Times New Roman" w:hAnsi="Times New Roman" w:eastAsia="宋体" w:cs="Times New Roman"/>
                <w:b/>
                <w:color w:val="000000"/>
                <w:spacing w:val="-10"/>
                <w:szCs w:val="21"/>
              </w:rPr>
              <w:drawing>
                <wp:anchor distT="0" distB="0" distL="114300" distR="114300" simplePos="0" relativeHeight="251665408" behindDoc="0" locked="0" layoutInCell="1" allowOverlap="1">
                  <wp:simplePos x="0" y="0"/>
                  <wp:positionH relativeFrom="column">
                    <wp:posOffset>684530</wp:posOffset>
                  </wp:positionH>
                  <wp:positionV relativeFrom="paragraph">
                    <wp:posOffset>119380</wp:posOffset>
                  </wp:positionV>
                  <wp:extent cx="495300" cy="513080"/>
                  <wp:effectExtent l="0" t="0" r="0" b="762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6" cstate="print"/>
                          <a:srcRect/>
                          <a:stretch>
                            <a:fillRect/>
                          </a:stretch>
                        </pic:blipFill>
                        <pic:spPr>
                          <a:xfrm>
                            <a:off x="0" y="0"/>
                            <a:ext cx="495300" cy="513080"/>
                          </a:xfrm>
                          <a:prstGeom prst="rect">
                            <a:avLst/>
                          </a:prstGeom>
                          <a:noFill/>
                          <a:ln w="9525">
                            <a:noFill/>
                            <a:miter lim="800000"/>
                            <a:headEnd/>
                            <a:tailEnd/>
                          </a:ln>
                        </pic:spPr>
                      </pic:pic>
                    </a:graphicData>
                  </a:graphic>
                </wp:anchor>
              </w:drawing>
            </w:r>
            <w:r>
              <w:rPr>
                <w:rFonts w:hint="eastAsia" w:ascii="Times New Roman" w:hAnsi="Times New Roman" w:eastAsia="宋体" w:cs="Times New Roman"/>
                <w:b/>
                <w:color w:val="000000"/>
                <w:spacing w:val="-10"/>
                <w:szCs w:val="21"/>
              </w:rPr>
              <w:t>推荐意见：■可进行二阶段审核□需再次安排一阶段审核□不进入二阶段审核</w:t>
            </w:r>
            <w:r>
              <w:tab/>
            </w:r>
          </w:p>
          <w:p>
            <w:pPr>
              <w:spacing w:line="280" w:lineRule="exact"/>
              <w:rPr>
                <w:rFonts w:hint="eastAsia"/>
              </w:rPr>
            </w:pPr>
          </w:p>
          <w:p>
            <w:pPr>
              <w:spacing w:line="280" w:lineRule="exact"/>
            </w:pPr>
            <w:r>
              <w:rPr>
                <w:rFonts w:hint="eastAsia" w:ascii="Times New Roman" w:hAnsi="Times New Roman" w:eastAsia="宋体" w:cs="Times New Roman"/>
                <w:b/>
                <w:color w:val="000000"/>
                <w:sz w:val="22"/>
                <w:szCs w:val="22"/>
                <w:lang w:val="en-US" w:eastAsia="zh-CN"/>
              </w:rPr>
              <w:t xml:space="preserve">验证人： </w:t>
            </w:r>
            <w:r>
              <w:rPr>
                <w:rFonts w:hint="eastAsia"/>
                <w:lang w:val="en-US" w:eastAsia="zh-CN"/>
              </w:rPr>
              <w:t xml:space="preserve">               </w:t>
            </w:r>
            <w:r>
              <w:rPr>
                <w:rFonts w:hint="eastAsia" w:ascii="Times New Roman" w:hAnsi="Times New Roman" w:eastAsia="宋体" w:cs="Times New Roman"/>
                <w:b/>
                <w:color w:val="000000"/>
                <w:sz w:val="22"/>
                <w:szCs w:val="22"/>
                <w:lang w:val="en-US" w:eastAsia="zh-CN"/>
              </w:rPr>
              <w:t xml:space="preserve">    </w:t>
            </w:r>
            <w:r>
              <w:rPr>
                <w:rFonts w:hint="eastAsia" w:ascii="Times New Roman" w:hAnsi="Times New Roman" w:eastAsia="宋体" w:cs="Times New Roman"/>
                <w:b/>
                <w:color w:val="000000"/>
                <w:sz w:val="22"/>
                <w:szCs w:val="22"/>
              </w:rPr>
              <w:t>日期：</w:t>
            </w:r>
            <w:r>
              <w:rPr>
                <w:rFonts w:hint="eastAsia" w:ascii="Times New Roman" w:hAnsi="Times New Roman" w:eastAsia="宋体" w:cs="Times New Roman"/>
                <w:b/>
                <w:color w:val="000000"/>
                <w:sz w:val="22"/>
                <w:szCs w:val="22"/>
                <w:lang w:val="en-US" w:eastAsia="zh-CN"/>
              </w:rPr>
              <w:t>2021</w:t>
            </w:r>
            <w:r>
              <w:rPr>
                <w:rFonts w:hint="eastAsia" w:ascii="Times New Roman" w:hAnsi="Times New Roman" w:eastAsia="宋体" w:cs="Times New Roman"/>
                <w:b/>
                <w:color w:val="000000"/>
                <w:sz w:val="22"/>
                <w:szCs w:val="22"/>
              </w:rPr>
              <w:t>年</w:t>
            </w:r>
            <w:r>
              <w:rPr>
                <w:rFonts w:hint="eastAsia" w:ascii="Times New Roman" w:hAnsi="Times New Roman" w:eastAsia="宋体" w:cs="Times New Roman"/>
                <w:b/>
                <w:color w:val="000000"/>
                <w:sz w:val="22"/>
                <w:szCs w:val="22"/>
                <w:lang w:val="en-US" w:eastAsia="zh-CN"/>
              </w:rPr>
              <w:t>7</w:t>
            </w:r>
            <w:r>
              <w:rPr>
                <w:rFonts w:hint="eastAsia" w:ascii="Times New Roman" w:hAnsi="Times New Roman" w:eastAsia="宋体" w:cs="Times New Roman"/>
                <w:b/>
                <w:color w:val="000000"/>
                <w:sz w:val="22"/>
                <w:szCs w:val="22"/>
              </w:rPr>
              <w:t>月</w:t>
            </w:r>
            <w:r>
              <w:rPr>
                <w:rFonts w:hint="eastAsia" w:ascii="Times New Roman" w:hAnsi="Times New Roman" w:eastAsia="宋体" w:cs="Times New Roman"/>
                <w:b/>
                <w:color w:val="000000"/>
                <w:sz w:val="22"/>
                <w:szCs w:val="22"/>
                <w:lang w:val="en-US" w:eastAsia="zh-CN"/>
              </w:rPr>
              <w:t>12</w:t>
            </w:r>
            <w:r>
              <w:rPr>
                <w:rFonts w:hint="eastAsia" w:ascii="Times New Roman" w:hAnsi="Times New Roman" w:eastAsia="宋体" w:cs="Times New Roman"/>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545E28"/>
    <w:rsid w:val="504F3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2021-07-21T11:47:40Z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C3F438D06AFC4E6383432D98E4FE1AAE</vt:lpwstr>
  </property>
</Properties>
</file>