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358"/>
        <w:gridCol w:w="1172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四川佳鑫家具有限公司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5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17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358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</w:tc>
        <w:tc>
          <w:tcPr>
            <w:tcW w:w="117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ind w:firstLine="720" w:firstLineChars="300"/>
              <w:rPr>
                <w:sz w:val="24"/>
              </w:rPr>
            </w:pPr>
            <w:r>
              <w:rPr>
                <w:rFonts w:hint="eastAsia"/>
                <w:lang w:val="en-US" w:eastAsia="zh-CN"/>
              </w:rPr>
              <w:t>市场调研→签订协议→组织采购用户产品与验收→组织发货与交付→售后服务</w:t>
            </w:r>
            <w:r>
              <w:rPr>
                <w:rFonts w:hint="eastAsia"/>
                <w:sz w:val="24"/>
              </w:rPr>
              <w:t> 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销售产品风险：产品质量不合格、交付不准时，货款回收等风险；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销售过程中火灾、触电伤害风险；业务外出时交通意外伤害风险；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销售过程，依据销售操作手册控制。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潜在火灾和固废排放，采取管理方案和应急处理方案控制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火灾和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触电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，采取管理方案和应急处理方案控制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color="auto" w:fill="FFFFFF"/>
              <w:ind w:left="0" w:leftChars="0" w:firstLine="0" w:firstLineChars="0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《家具力学性能试验 椅、凳类稳定性GB/T 10357.2-1989、家具力学性能试验 椅、凳类强度和耐久性GB/T 10357.3-1989、家具 桌、椅、凳类主要尺寸GB/T 3326-1997合同协议等。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检验项</w:t>
            </w:r>
            <w:bookmarkStart w:id="6" w:name="_GoBack"/>
            <w:bookmarkEnd w:id="6"/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目：材质、样式尺寸、装配及表面质量、包装质量等。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3970655</wp:posOffset>
            </wp:positionH>
            <wp:positionV relativeFrom="paragraph">
              <wp:posOffset>71120</wp:posOffset>
            </wp:positionV>
            <wp:extent cx="445770" cy="461645"/>
            <wp:effectExtent l="0" t="0" r="11430" b="10795"/>
            <wp:wrapNone/>
            <wp:docPr id="1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46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1373505</wp:posOffset>
            </wp:positionH>
            <wp:positionV relativeFrom="paragraph">
              <wp:posOffset>50800</wp:posOffset>
            </wp:positionV>
            <wp:extent cx="403225" cy="417830"/>
            <wp:effectExtent l="0" t="0" r="8255" b="8890"/>
            <wp:wrapNone/>
            <wp:docPr id="5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3225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b/>
          <w:sz w:val="21"/>
          <w:szCs w:val="21"/>
          <w:lang w:val="en-US" w:eastAsia="zh-CN"/>
        </w:rPr>
        <w:t>2021.7.12</w:t>
      </w:r>
      <w:r>
        <w:rPr>
          <w:rFonts w:hint="eastAsia"/>
          <w:b/>
          <w:sz w:val="21"/>
          <w:szCs w:val="21"/>
        </w:rPr>
        <w:t xml:space="preserve"> </w:t>
      </w:r>
      <w:r>
        <w:rPr>
          <w:rFonts w:hint="eastAsia"/>
          <w:b/>
          <w:sz w:val="18"/>
          <w:szCs w:val="18"/>
        </w:rPr>
        <w:t xml:space="preserve">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</w:t>
      </w:r>
      <w:r>
        <w:rPr>
          <w:rFonts w:hint="eastAsia"/>
          <w:b/>
          <w:sz w:val="21"/>
          <w:szCs w:val="21"/>
          <w:lang w:val="en-US" w:eastAsia="zh-CN"/>
        </w:rPr>
        <w:t xml:space="preserve">     日期：2021.7.12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95A2DAB"/>
    <w:rsid w:val="29922857"/>
    <w:rsid w:val="547957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3">
    <w:name w:val="heading 3"/>
    <w:basedOn w:val="1"/>
    <w:next w:val="1"/>
    <w:qFormat/>
    <w:locked/>
    <w:uiPriority w:val="0"/>
    <w:pPr>
      <w:keepNext/>
      <w:keepLines/>
      <w:adjustRightInd w:val="0"/>
      <w:spacing w:before="260" w:after="260" w:line="416" w:lineRule="atLeast"/>
      <w:textAlignment w:val="baseline"/>
      <w:outlineLvl w:val="2"/>
    </w:pPr>
    <w:rPr>
      <w:b/>
      <w:bCs/>
      <w:kern w:val="0"/>
      <w:sz w:val="28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2021-07-16T05:26:55Z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B1A8477B5FC24E79B148C0B70EFDC460</vt:lpwstr>
  </property>
</Properties>
</file>