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10"/>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北京百通科信机械设备有限公司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李京田</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组长</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Q:29.03.01,34.05.00</w:t>
            </w:r>
          </w:p>
          <w:p>
            <w:pPr>
              <w:spacing w:line="240" w:lineRule="exact"/>
              <w:jc w:val="center"/>
              <w:rPr>
                <w:b/>
                <w:color w:val="000000" w:themeColor="text1"/>
                <w:sz w:val="20"/>
                <w:szCs w:val="20"/>
              </w:rPr>
            </w:pPr>
            <w:r>
              <w:rPr>
                <w:b/>
                <w:color w:val="000000" w:themeColor="text1"/>
                <w:sz w:val="20"/>
                <w:szCs w:val="20"/>
              </w:rPr>
              <w:t>E:29.03.01,34.05.00</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O:29.03.01,34.05.00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李雅静</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Q:29.03.01</w:t>
            </w:r>
          </w:p>
          <w:p>
            <w:pPr>
              <w:spacing w:line="240" w:lineRule="exact"/>
              <w:jc w:val="center"/>
              <w:rPr>
                <w:b/>
                <w:color w:val="000000" w:themeColor="text1"/>
                <w:sz w:val="20"/>
                <w:szCs w:val="20"/>
              </w:rPr>
            </w:pPr>
            <w:r>
              <w:rPr>
                <w:b/>
                <w:color w:val="000000" w:themeColor="text1"/>
                <w:sz w:val="20"/>
                <w:szCs w:val="20"/>
              </w:rPr>
              <w:t>E:29.03.01,34.05.00</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O:29.03.01,34.05.00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李建军</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Q:22.03.02</w:t>
            </w:r>
          </w:p>
          <w:p>
            <w:pPr>
              <w:spacing w:line="240" w:lineRule="exact"/>
              <w:jc w:val="center"/>
              <w:rPr>
                <w:b/>
                <w:color w:val="000000" w:themeColor="text1"/>
                <w:sz w:val="20"/>
                <w:szCs w:val="20"/>
              </w:rPr>
            </w:pPr>
            <w:r>
              <w:rPr>
                <w:b/>
                <w:color w:val="000000" w:themeColor="text1"/>
                <w:sz w:val="20"/>
                <w:szCs w:val="20"/>
              </w:rPr>
              <w:t>E:22.03.02</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78" w:type="dxa"/>
            <w:gridSpan w:val="3"/>
            <w:vAlign w:val="center"/>
          </w:tcPr>
          <w:p>
            <w:pPr>
              <w:rPr>
                <w:b/>
                <w:color w:val="000000" w:themeColor="text1"/>
                <w:sz w:val="20"/>
                <w:szCs w:val="20"/>
              </w:rPr>
            </w:pP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北京百通科信机械设备有限公司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北京市北京经济技术开发区科创十四街20号院9号楼2单元1层101室</w:t>
            </w:r>
          </w:p>
        </w:tc>
        <w:tc>
          <w:tcPr>
            <w:tcW w:w="540" w:type="dxa"/>
            <w:vMerge w:val="restart"/>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北京市北京经济技术开发区科创十四街20号院9号楼2单元1层101室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李转</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010-67861867</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戴景岩</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戴景岩</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赵喜群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rPr>
                <w:rFonts w:hint="eastAsia"/>
                <w:color w:val="000000"/>
                <w:szCs w:val="21"/>
              </w:rPr>
            </w:pPr>
            <w:bookmarkStart w:id="1" w:name="审核范围"/>
            <w:r>
              <w:rPr>
                <w:rFonts w:hint="eastAsia" w:ascii="宋体" w:hAnsi="宋体"/>
                <w:szCs w:val="21"/>
              </w:rPr>
              <w:t>Q：汽车教学设备的研发、销售及售后服务</w:t>
            </w:r>
          </w:p>
          <w:p>
            <w:pPr>
              <w:rPr>
                <w:rFonts w:hint="eastAsia" w:ascii="宋体" w:hAnsi="宋体"/>
                <w:szCs w:val="21"/>
              </w:rPr>
            </w:pPr>
            <w:r>
              <w:rPr>
                <w:rFonts w:hint="eastAsia" w:ascii="宋体" w:hAnsi="宋体"/>
                <w:szCs w:val="21"/>
              </w:rPr>
              <w:t>E：汽车教学设备的研发、销售及售后服务所涉及场所的相关环境管理活动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O：汽车教学设备的研发、销售及售后服务所涉及场所的相关职业健康安全管理活动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rPr>
                <w:rFonts w:hint="eastAsia"/>
                <w:b/>
                <w:szCs w:val="21"/>
              </w:rPr>
            </w:pPr>
            <w:bookmarkStart w:id="2" w:name="专业代码"/>
            <w:r>
              <w:rPr>
                <w:rFonts w:hint="eastAsia"/>
                <w:b/>
                <w:szCs w:val="21"/>
              </w:rPr>
              <w:t>Q：22.03.02;29.03.01;34.05.00</w:t>
            </w:r>
          </w:p>
          <w:p>
            <w:pPr>
              <w:rPr>
                <w:rFonts w:hint="eastAsia"/>
                <w:b/>
                <w:szCs w:val="21"/>
              </w:rPr>
            </w:pPr>
            <w:r>
              <w:rPr>
                <w:rFonts w:hint="eastAsia"/>
                <w:b/>
                <w:szCs w:val="21"/>
              </w:rPr>
              <w:t>E：22.03.02;29.03.01;34.05.00</w:t>
            </w:r>
          </w:p>
          <w:p>
            <w:pPr>
              <w:spacing w:line="320" w:lineRule="exact"/>
              <w:rPr>
                <w:rFonts w:ascii="宋体" w:hAnsi="宋体"/>
                <w:b/>
                <w:color w:val="000000" w:themeColor="text1"/>
                <w:sz w:val="20"/>
                <w:szCs w:val="20"/>
              </w:rPr>
            </w:pPr>
            <w:r>
              <w:rPr>
                <w:rFonts w:hint="eastAsia"/>
                <w:b/>
                <w:szCs w:val="21"/>
              </w:rPr>
              <w:t>O：22.03.02;29.03.01;34.05.00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b/>
                <w:szCs w:val="21"/>
                <w:lang w:val="zh-CN"/>
              </w:rPr>
              <w:t>2020年9月10日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tcPr>
          <w:p>
            <w:pPr>
              <w:ind w:firstLine="420" w:firstLineChars="200"/>
              <w:rPr>
                <w:rFonts w:hint="eastAsia" w:ascii="宋体" w:hAnsi="宋体" w:cs="宋体"/>
                <w:szCs w:val="21"/>
              </w:rPr>
            </w:pPr>
            <w:r>
              <w:rPr>
                <w:rFonts w:hint="eastAsia" w:ascii="宋体" w:hAnsi="宋体" w:cs="宋体"/>
                <w:szCs w:val="21"/>
              </w:rPr>
              <w:t>负责公司</w:t>
            </w:r>
            <w:r>
              <w:rPr>
                <w:rFonts w:hint="eastAsia" w:ascii="宋体" w:hAnsi="宋体"/>
                <w:szCs w:val="21"/>
              </w:rPr>
              <w:t>汽车教学设备的研发、销售及售后服务</w:t>
            </w:r>
            <w:r>
              <w:rPr>
                <w:rFonts w:hint="eastAsia" w:ascii="宋体" w:hAnsi="宋体" w:cs="宋体"/>
                <w:szCs w:val="21"/>
              </w:rPr>
              <w:t>的实施和管理、负责</w:t>
            </w:r>
            <w:r>
              <w:rPr>
                <w:rFonts w:hint="eastAsia" w:ascii="宋体" w:hAnsi="宋体"/>
                <w:szCs w:val="21"/>
              </w:rPr>
              <w:t>汽车教学设备的研发、销售及售后服务</w:t>
            </w:r>
            <w:r>
              <w:rPr>
                <w:rFonts w:hint="eastAsia" w:ascii="宋体" w:hAnsi="宋体" w:cs="宋体"/>
                <w:szCs w:val="21"/>
              </w:rPr>
              <w:t>方案等技术文件的编制、修订</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szCs w:val="21"/>
              </w:rPr>
              <w:t>汽车教学设备的研发、销售及售后服务</w:t>
            </w:r>
            <w:r>
              <w:rPr>
                <w:rFonts w:hint="eastAsia" w:ascii="宋体" w:hAnsi="宋体" w:cs="宋体"/>
                <w:szCs w:val="21"/>
              </w:rPr>
              <w:t>项目进度和工作质量的把控、负责销售反馈问题的汇总、跟踪及解决</w:t>
            </w:r>
          </w:p>
          <w:p>
            <w:pPr>
              <w:ind w:firstLine="420" w:firstLineChars="200"/>
              <w:rPr>
                <w:rFonts w:hint="eastAsia" w:ascii="宋体" w:hAnsi="宋体" w:cs="宋体"/>
                <w:szCs w:val="21"/>
              </w:rPr>
            </w:pPr>
            <w:r>
              <w:rPr>
                <w:rFonts w:hint="eastAsia" w:ascii="宋体" w:hAnsi="宋体" w:cs="宋体"/>
                <w:szCs w:val="21"/>
              </w:rPr>
              <w:t>负责客户关系协调及客户人员培训、根据相关政策法规的规定，负责对相关园林绿化服务文件进行调整和完善、.完成领导交办的其他任务</w:t>
            </w:r>
          </w:p>
          <w:p>
            <w:pPr>
              <w:ind w:firstLine="420" w:firstLineChars="200"/>
              <w:rPr>
                <w:rFonts w:hint="eastAsia" w:ascii="宋体" w:hAnsi="宋体" w:cs="宋体"/>
                <w:szCs w:val="21"/>
              </w:rPr>
            </w:pPr>
            <w:r>
              <w:rPr>
                <w:rFonts w:hint="eastAsia" w:ascii="宋体" w:hAnsi="宋体" w:cs="宋体"/>
                <w:szCs w:val="21"/>
              </w:rPr>
              <w:t>环境、职业健康安全体系运行过程；</w:t>
            </w:r>
          </w:p>
          <w:p>
            <w:pPr>
              <w:ind w:firstLine="420" w:firstLineChars="200"/>
              <w:rPr>
                <w:rFonts w:hint="eastAsia" w:ascii="宋体" w:hAnsi="宋体" w:cs="宋体"/>
                <w:szCs w:val="21"/>
              </w:rPr>
            </w:pPr>
            <w:r>
              <w:rPr>
                <w:rFonts w:hint="eastAsia" w:ascii="宋体" w:hAnsi="宋体" w:cs="宋体"/>
                <w:szCs w:val="21"/>
              </w:rPr>
              <w:t>环境因素、危险源的识别和评价及管理控制</w:t>
            </w:r>
          </w:p>
          <w:p>
            <w:pPr>
              <w:ind w:firstLine="420" w:firstLineChars="200"/>
              <w:rPr>
                <w:rFonts w:hint="eastAsia" w:ascii="宋体" w:hAnsi="宋体" w:cs="宋体"/>
                <w:szCs w:val="21"/>
              </w:rPr>
            </w:pPr>
            <w:r>
              <w:rPr>
                <w:rFonts w:hint="eastAsia" w:ascii="宋体" w:hAnsi="宋体" w:cs="宋体"/>
                <w:szCs w:val="21"/>
              </w:rPr>
              <w:t>顾客满意度调查</w:t>
            </w:r>
          </w:p>
          <w:p>
            <w:pPr>
              <w:ind w:firstLine="420" w:firstLineChars="200"/>
              <w:rPr>
                <w:rFonts w:hint="eastAsia"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3"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pStyle w:val="10"/>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r>
              <w:rPr>
                <w:rFonts w:hint="eastAsia" w:ascii="宋体" w:hAnsi="宋体"/>
                <w:szCs w:val="21"/>
              </w:rPr>
              <w:t>Q：汽车教学设备的研发、销售及售后服务</w:t>
            </w:r>
          </w:p>
          <w:p>
            <w:pPr>
              <w:rPr>
                <w:rFonts w:hint="eastAsia" w:ascii="宋体" w:hAnsi="宋体"/>
                <w:szCs w:val="21"/>
              </w:rPr>
            </w:pPr>
            <w:r>
              <w:rPr>
                <w:rFonts w:hint="eastAsia" w:ascii="宋体" w:hAnsi="宋体"/>
                <w:szCs w:val="21"/>
              </w:rPr>
              <w:t>E：汽车教学设备的研发、销售及售后服务所涉及场所的相关环境管理活动</w:t>
            </w:r>
          </w:p>
          <w:p>
            <w:pPr>
              <w:rPr>
                <w:rFonts w:hint="eastAsia" w:ascii="宋体" w:hAnsi="宋体"/>
                <w:szCs w:val="21"/>
              </w:rPr>
            </w:pPr>
            <w:r>
              <w:rPr>
                <w:rFonts w:hint="eastAsia" w:ascii="宋体" w:hAnsi="宋体"/>
                <w:szCs w:val="21"/>
              </w:rPr>
              <w:t>O：汽车教学设备的研发、销售及售后服务所涉及场所的相关职业健康安全管理活动</w:t>
            </w:r>
          </w:p>
          <w:p>
            <w:pPr>
              <w:rPr>
                <w:rFonts w:hint="eastAsia" w:ascii="宋体" w:hAnsi="宋体" w:eastAsia="宋体"/>
                <w:b/>
                <w:bCs/>
                <w:color w:val="auto"/>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无</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10"/>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1050" w:firstLineChars="500"/>
              <w:rPr>
                <w:rFonts w:hint="eastAsia"/>
                <w:lang w:eastAsia="zh-CN"/>
              </w:rPr>
            </w:pPr>
            <w:r>
              <w:rPr>
                <w:rFonts w:hint="eastAsia"/>
                <w:lang w:eastAsia="zh-CN"/>
              </w:rPr>
              <w:t>守法诚信追求质量，预防污染保护环境；</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关爱员工健康安全，持续改进追求卓越</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snapToGrid w:val="0"/>
              <w:rPr>
                <w:b/>
                <w:bCs/>
              </w:rPr>
            </w:pPr>
            <w:r>
              <w:rPr>
                <w:rFonts w:hint="eastAsia" w:hAnsi="Lucida Sans" w:eastAsia="宋体" w:cs="Lucida Sans"/>
                <w:b/>
                <w:bCs/>
              </w:rPr>
              <w:t>汽车教学设备的研</w:t>
            </w:r>
            <w:r>
              <w:rPr>
                <w:rFonts w:hint="eastAsia"/>
                <w:b/>
                <w:bCs/>
              </w:rPr>
              <w:t>发：客户沟通--项目中标—合同评审--签订合同--立项--需求分析--概要设计--详细设计—客户确认--测试--配置标识--部署--交付使用—售后服务</w:t>
            </w:r>
          </w:p>
          <w:p>
            <w:pPr>
              <w:snapToGrid w:val="0"/>
              <w:rPr>
                <w:rFonts w:hint="eastAsia"/>
                <w:b/>
                <w:bCs/>
              </w:rPr>
            </w:pPr>
            <w:r>
              <w:rPr>
                <w:rFonts w:hint="eastAsia"/>
                <w:b/>
                <w:bCs/>
              </w:rPr>
              <w:t xml:space="preserve"> </w:t>
            </w:r>
          </w:p>
          <w:p>
            <w:pPr>
              <w:snapToGrid w:val="0"/>
              <w:rPr>
                <w:rFonts w:hint="eastAsia"/>
                <w:b/>
                <w:bCs/>
              </w:rPr>
            </w:pPr>
            <w:r>
              <w:rPr>
                <w:rFonts w:hint="eastAsia"/>
                <w:b/>
                <w:bCs/>
              </w:rPr>
              <w:t>销售流程</w:t>
            </w:r>
          </w:p>
          <w:p>
            <w:pPr>
              <w:rPr>
                <w:rFonts w:hint="eastAsia"/>
              </w:rPr>
            </w:pPr>
            <w:r>
              <w:rPr>
                <w:rFonts w:hint="eastAsia"/>
                <w:b/>
                <w:bCs/>
              </w:rPr>
              <w:t>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ind w:firstLine="402" w:firstLineChars="200"/>
              <w:rPr>
                <w:rFonts w:ascii="宋体" w:hAnsi="宋体"/>
                <w:b/>
                <w:color w:val="000000" w:themeColor="text1"/>
                <w:szCs w:val="21"/>
              </w:rPr>
            </w:pPr>
            <w:r>
              <w:rPr>
                <w:b/>
                <w:color w:val="000000" w:themeColor="text1"/>
                <w:sz w:val="20"/>
                <w:szCs w:val="20"/>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2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300" w:lineRule="exact"/>
              <w:rPr>
                <w:b/>
                <w:color w:val="000000" w:themeColor="text1"/>
                <w:sz w:val="20"/>
                <w:szCs w:val="20"/>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10"/>
              <w:rPr>
                <w:color w:val="000000" w:themeColor="text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20</w:t>
            </w:r>
            <w:r>
              <w:rPr>
                <w:rFonts w:hint="eastAsia"/>
                <w:bCs/>
                <w:szCs w:val="21"/>
              </w:rPr>
              <w:t>人，管理人</w:t>
            </w:r>
            <w:r>
              <w:rPr>
                <w:rFonts w:hint="eastAsia"/>
                <w:bCs/>
                <w:szCs w:val="21"/>
                <w:lang w:val="en-US" w:eastAsia="zh-CN"/>
              </w:rPr>
              <w:t>5</w:t>
            </w:r>
            <w:r>
              <w:rPr>
                <w:rFonts w:hint="eastAsia"/>
                <w:bCs/>
                <w:szCs w:val="21"/>
              </w:rPr>
              <w:t>人。有</w:t>
            </w:r>
            <w:r>
              <w:rPr>
                <w:rFonts w:hint="eastAsia" w:ascii="宋体" w:hAnsi="宋体"/>
                <w:szCs w:val="21"/>
              </w:rPr>
              <w:t>汽车教学设备的研发、销售及售后服务</w:t>
            </w:r>
            <w:r>
              <w:rPr>
                <w:rFonts w:hint="eastAsia"/>
                <w:bCs/>
                <w:szCs w:val="21"/>
                <w:lang w:val="en-US" w:eastAsia="zh-CN"/>
              </w:rPr>
              <w:t>人员，能满足</w:t>
            </w:r>
            <w:r>
              <w:rPr>
                <w:rFonts w:hint="eastAsia"/>
                <w:bCs/>
                <w:szCs w:val="21"/>
              </w:rPr>
              <w:t>汽车教学设备的研发、销售及售后服务的要求。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4"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4"/>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val="en-US" w:eastAsia="zh-CN"/>
              </w:rPr>
              <w:t>服务</w:t>
            </w:r>
            <w:r>
              <w:rPr>
                <w:rFonts w:hint="eastAsia"/>
              </w:rPr>
              <w:t>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eastAsia="宋体" w:cs="Lucida Sans"/>
                <w:b/>
                <w:szCs w:val="20"/>
                <w:highlight w:val="yellow"/>
                <w:lang w:val="en-US" w:eastAsia="zh-CN"/>
              </w:rPr>
            </w:pPr>
            <w:r>
              <w:rPr>
                <w:rFonts w:hint="eastAsia"/>
              </w:rPr>
              <w:t>监视和测量设备</w:t>
            </w:r>
            <w:r>
              <w:rPr>
                <w:rFonts w:hint="eastAsia"/>
                <w:lang w:eastAsia="zh-CN"/>
              </w:rPr>
              <w:t>：</w:t>
            </w:r>
            <w:r>
              <w:rPr>
                <w:rFonts w:hint="eastAsia"/>
                <w:lang w:val="en-US" w:eastAsia="zh-CN"/>
              </w:rPr>
              <w:t>钢卷尺、万用表</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10"/>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0"/>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括回访和顾客满意度调查），相关绩效表明：组织基本能有效控制管理其生产及服务过程，</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ind w:firstLine="230" w:firstLineChars="100"/>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10"/>
              <w:rPr>
                <w:b/>
                <w:sz w:val="20"/>
                <w:szCs w:val="20"/>
              </w:rPr>
            </w:pPr>
          </w:p>
          <w:p>
            <w:pPr>
              <w:pStyle w:val="10"/>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default"/>
                <w:lang w:val="en-US" w:eastAsia="zh-CN"/>
              </w:rPr>
              <w:t>2021年1月15日</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w:t>
            </w:r>
            <w:r>
              <w:rPr>
                <w:rFonts w:hint="default"/>
                <w:lang w:val="en-US" w:eastAsia="zh-CN"/>
              </w:rPr>
              <w:t>2021年1月15日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widowControl w:val="0"/>
              <w:numPr>
                <w:ilvl w:val="0"/>
                <w:numId w:val="0"/>
              </w:numPr>
              <w:jc w:val="both"/>
              <w:rPr>
                <w:b/>
                <w:color w:val="000000" w:themeColor="text1"/>
                <w:sz w:val="20"/>
                <w:szCs w:val="20"/>
              </w:rPr>
            </w:pPr>
            <w:r>
              <w:rPr>
                <w:rFonts w:hint="eastAsia" w:ascii="宋体" w:hAnsi="宋体" w:cs="宋体"/>
                <w:szCs w:val="21"/>
              </w:rPr>
              <w:t>管理评审频次为一年一次、本次管理评审于</w:t>
            </w:r>
            <w:r>
              <w:rPr>
                <w:rFonts w:hint="default"/>
                <w:lang w:val="en-US" w:eastAsia="zh-CN"/>
              </w:rPr>
              <w:t>2021年1月25日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北京百通科信机械设备有限公司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10"/>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10"/>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Q：汽车教学设备的研发、销售及售后服务</w:t>
            </w:r>
          </w:p>
          <w:p>
            <w:pPr>
              <w:rPr>
                <w:rFonts w:hint="eastAsia" w:ascii="宋体" w:hAnsi="宋体"/>
                <w:szCs w:val="21"/>
              </w:rPr>
            </w:pPr>
            <w:r>
              <w:rPr>
                <w:rFonts w:hint="eastAsia" w:ascii="宋体" w:hAnsi="宋体"/>
                <w:szCs w:val="21"/>
              </w:rPr>
              <w:t>E：汽车教学设备的研发、销售及售后服务所涉及场所的相关环境管理活动</w:t>
            </w:r>
          </w:p>
          <w:p>
            <w:pPr>
              <w:rPr>
                <w:rFonts w:hint="eastAsia" w:ascii="宋体" w:hAnsi="宋体"/>
                <w:szCs w:val="21"/>
              </w:rPr>
            </w:pPr>
            <w:r>
              <w:rPr>
                <w:rFonts w:hint="eastAsia" w:ascii="宋体" w:hAnsi="宋体"/>
                <w:szCs w:val="21"/>
              </w:rPr>
              <w:t>O：汽车教学设备的研发、销售及售后服务所涉及场所的相关职业健康安全管理活动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rPr>
              <w:sym w:font="Wingdings" w:char="00A8"/>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color w:val="000000" w:themeColor="text1"/>
                <w:szCs w:val="21"/>
              </w:rPr>
              <w:sym w:font="Wingdings" w:char="00A8"/>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color w:val="000000" w:themeColor="text1"/>
                <w:spacing w:val="-10"/>
                <w:szCs w:val="21"/>
              </w:rPr>
              <w:t>▇</w:t>
            </w:r>
            <w:r>
              <w:rPr>
                <w:rFonts w:hint="eastAsia"/>
                <w:b/>
                <w:color w:val="000000" w:themeColor="text1"/>
                <w:szCs w:val="21"/>
              </w:rPr>
              <w:t xml:space="preserve">EMS   </w:t>
            </w:r>
            <w:r>
              <w:rPr>
                <w:rFonts w:hint="eastAsia" w:ascii="宋体" w:hAnsi="宋体" w:eastAsia="宋体" w:cs="宋体"/>
                <w:b/>
                <w:color w:val="000000" w:themeColor="text1"/>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847725" cy="36830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12495" cy="42418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12495" cy="424180"/>
                    </a:xfrm>
                    <a:prstGeom prst="rect">
                      <a:avLst/>
                    </a:prstGeom>
                    <a:noFill/>
                    <a:ln>
                      <a:noFill/>
                    </a:ln>
                  </pic:spPr>
                </pic:pic>
              </a:graphicData>
            </a:graphic>
          </wp:inline>
        </w:drawing>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FE"/>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1</w:t>
      </w:r>
      <w:bookmarkStart w:id="5" w:name="_GoBack"/>
      <w:bookmarkEnd w:id="5"/>
      <w:r>
        <w:rPr>
          <w:rFonts w:hint="eastAsia"/>
          <w:b/>
          <w:color w:val="000000" w:themeColor="text1"/>
          <w:szCs w:val="21"/>
        </w:rPr>
        <w:t>)个一般不符合，(  )个严重不符合</w:t>
      </w:r>
      <w:r>
        <w:rPr>
          <w:rFonts w:hint="eastAsia"/>
          <w:b/>
          <w:color w:val="000000" w:themeColor="text1"/>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095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4875" cy="209550"/>
                    </a:xfrm>
                    <a:prstGeom prst="rect">
                      <a:avLst/>
                    </a:prstGeom>
                    <a:noFill/>
                    <a:ln>
                      <a:noFill/>
                    </a:ln>
                  </pic:spPr>
                </pic:pic>
              </a:graphicData>
            </a:graphic>
          </wp:inline>
        </w:drawing>
      </w:r>
      <w:r>
        <w:rPr>
          <w:rFonts w:hint="eastAsia"/>
          <w:b/>
          <w:color w:val="000000" w:themeColor="text1"/>
          <w:szCs w:val="21"/>
        </w:rPr>
        <w:t xml:space="preserve">                        日期:    202</w:t>
      </w:r>
      <w:r>
        <w:rPr>
          <w:rFonts w:hint="eastAsia"/>
          <w:b/>
          <w:color w:val="000000" w:themeColor="text1"/>
          <w:szCs w:val="21"/>
          <w:lang w:val="en-US" w:eastAsia="zh-CN"/>
        </w:rPr>
        <w:t>1</w:t>
      </w:r>
      <w:r>
        <w:rPr>
          <w:rFonts w:hint="eastAsia"/>
          <w:b/>
          <w:color w:val="000000" w:themeColor="text1"/>
          <w:szCs w:val="21"/>
        </w:rPr>
        <w:t xml:space="preserve"> 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3CBCC"/>
    <w:multiLevelType w:val="singleLevel"/>
    <w:tmpl w:val="CA43CBCC"/>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972140E"/>
    <w:rsid w:val="0F3312CC"/>
    <w:rsid w:val="14E11A4F"/>
    <w:rsid w:val="15E2204B"/>
    <w:rsid w:val="16B91782"/>
    <w:rsid w:val="1C440198"/>
    <w:rsid w:val="2095279C"/>
    <w:rsid w:val="20EA734E"/>
    <w:rsid w:val="21611269"/>
    <w:rsid w:val="21A15F24"/>
    <w:rsid w:val="23BF4AB8"/>
    <w:rsid w:val="292E5BF8"/>
    <w:rsid w:val="2C0A04A2"/>
    <w:rsid w:val="2F4833C0"/>
    <w:rsid w:val="33594BC6"/>
    <w:rsid w:val="360662CD"/>
    <w:rsid w:val="3C6210A8"/>
    <w:rsid w:val="45904C65"/>
    <w:rsid w:val="4B4A3A22"/>
    <w:rsid w:val="4D894AD6"/>
    <w:rsid w:val="4E360575"/>
    <w:rsid w:val="577B293A"/>
    <w:rsid w:val="58757E83"/>
    <w:rsid w:val="5CDD1C2D"/>
    <w:rsid w:val="5DE7039B"/>
    <w:rsid w:val="5EC948AC"/>
    <w:rsid w:val="611D7672"/>
    <w:rsid w:val="6D034814"/>
    <w:rsid w:val="6D072060"/>
    <w:rsid w:val="78F5640C"/>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字符"/>
    <w:basedOn w:val="8"/>
    <w:link w:val="2"/>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0</TotalTime>
  <ScaleCrop>false</ScaleCrop>
  <LinksUpToDate>false</LinksUpToDate>
  <CharactersWithSpaces>8991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2021-07-15T04:37:56Z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38CCB04EC6864F57A0D2895E5606F1AB</vt:lpwstr>
  </property>
</Properties>
</file>