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北京百通科信机械设备有限公司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0395-2021-EO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李转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010-67861867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1724748526@qq.com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  <w:sz w:val="21"/>
                <w:szCs w:val="21"/>
                <w:lang w:val="zh-CN"/>
              </w:rPr>
              <w:t xml:space="preserve">戴景岩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/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E：汽车教学设备的研发、销售及售后服务所涉及场所的相关环境管理活动</w:t>
            </w:r>
          </w:p>
          <w:p>
            <w:r>
              <w:t>O：汽车教学设备的研发、销售及售后服务所涉及场所的相关职业健康安全管理活动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E：22.03.02;29.03.01;34.05.00</w:t>
            </w:r>
          </w:p>
          <w:p>
            <w:r>
              <w:t>O：22.03.02;29.03.01;34.05.00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1"/>
                <w:szCs w:val="21"/>
              </w:rPr>
              <w:t>2021年07月12日 上午至2021年07月12日 上午 (共0.5天)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E:29.03.01,34.05.00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O:29.03.01,34.05.00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E:29.03.01,34.05.00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O:29.03.01,34.05.00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李建军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O:22.03.02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13520459287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7.12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S:4.1/4.3/5.2/6.2/9.3/7.1/9.1.1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S/5.4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：30-12：30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S：6.2 /6.1.2/6.1.3/7.2/7.5/8.1/8.2/9.1.2/9.2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9：30-12：30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了解受审核方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服务的场所、产品与认证范围一致性，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销售服务所的危险源辨识、环境因素识别、安全设施等对环境及职业健康安全的影响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2：30-13：00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14FD0"/>
    <w:rsid w:val="0D624BC1"/>
    <w:rsid w:val="14BF52F5"/>
    <w:rsid w:val="19265CDD"/>
    <w:rsid w:val="1A9A448A"/>
    <w:rsid w:val="336A3BA1"/>
    <w:rsid w:val="38FD017A"/>
    <w:rsid w:val="4596764E"/>
    <w:rsid w:val="627D5840"/>
    <w:rsid w:val="6523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2021-07-14T14:12:56Z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2FD813C0C42140DA8ACEEE0F8263671B</vt:lpwstr>
  </property>
</Properties>
</file>