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重庆中嘉盛亿实业有限公司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重庆中嘉盛亿实业有限公司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重庆市渝中区朝天门长滨路19号17-12#</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404100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重庆市南岸区江南大道19号城市之光25-16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404100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曾琪淋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15683772896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周文冠</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周文冠</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曾琪淋</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阀门、消防器材、管材的销售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val="en-US" w:eastAsia="zh-CN"/>
              </w:rPr>
              <w:t>行政</w:t>
            </w:r>
            <w:r>
              <w:rPr>
                <w:rFonts w:hint="eastAsia" w:ascii="宋体" w:hAnsi="宋体"/>
                <w:b/>
                <w:color w:val="000000" w:themeColor="text1"/>
                <w:spacing w:val="-20"/>
                <w:sz w:val="20"/>
                <w:szCs w:val="20"/>
                <w:u w:val="none"/>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方针、目标管理；文件、记录控制程；管理评审；内审管理；人员、部门职能职责和权限；风险识别评价管理；纠正和预防措施控制。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eastAsia="宋体" w:cs="Times New Roman"/>
                <w:b/>
                <w:color w:val="000000" w:themeColor="text1"/>
                <w:kern w:val="2"/>
                <w:sz w:val="20"/>
                <w:szCs w:val="20"/>
                <w:u w:val="none"/>
                <w:lang w:val="en-US" w:eastAsia="zh-CN" w:bidi="ar-SA"/>
              </w:rPr>
              <w:t>销售部、采购部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不合格品控制；</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lang w:eastAsia="zh-CN"/>
              </w:rPr>
              <w:t>阀门、消防器材、管材的销售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napToGrid w:val="0"/>
              <w:spacing w:line="280" w:lineRule="exact"/>
              <w:jc w:val="left"/>
              <w:rPr>
                <w:b/>
                <w:color w:val="000000" w:themeColor="text1"/>
                <w:sz w:val="20"/>
                <w:szCs w:val="20"/>
              </w:rPr>
            </w:pPr>
            <w:r>
              <w:rPr>
                <w:rFonts w:hint="eastAsia" w:ascii="宋体" w:hAnsi="宋体" w:eastAsia="宋体" w:cs="Times New Roman"/>
                <w:b w:val="0"/>
                <w:color w:val="000000" w:themeColor="text1"/>
                <w:kern w:val="2"/>
                <w:sz w:val="21"/>
                <w:szCs w:val="21"/>
                <w:lang w:val="en-US" w:eastAsia="zh-CN" w:bidi="ar-SA"/>
              </w:rPr>
              <w:t>中华人民共和国合同法、中华人民共和国消费者权益保护法、中华人民共和国价格法、中华人民共和国产品质量法</w:t>
            </w:r>
            <w:r>
              <w:rPr>
                <w:rFonts w:hint="eastAsia" w:ascii="宋体" w:hAnsi="宋体" w:cs="Times New Roman"/>
                <w:b w:val="0"/>
                <w:color w:val="000000" w:themeColor="text1"/>
                <w:kern w:val="2"/>
                <w:sz w:val="21"/>
                <w:szCs w:val="21"/>
                <w:lang w:val="en-US" w:eastAsia="zh-CN" w:bidi="ar-SA"/>
              </w:rPr>
              <w:t>、</w:t>
            </w:r>
            <w:r>
              <w:rPr>
                <w:rFonts w:hint="eastAsia" w:ascii="宋体" w:hAnsi="宋体" w:eastAsia="宋体" w:cs="Times New Roman"/>
                <w:b w:val="0"/>
                <w:color w:val="000000" w:themeColor="text1"/>
                <w:kern w:val="2"/>
                <w:sz w:val="21"/>
                <w:szCs w:val="21"/>
                <w:highlight w:val="none"/>
                <w:lang w:val="en-US" w:eastAsia="zh-CN" w:bidi="ar-SA"/>
              </w:rPr>
              <w:t>GB/T28897-2012《钢朔复合管》、GB/T12232-2005《通用阀门 法兰连接铁制闸阀》、GB/T13927-2008《工业阀门 压力试验》、GB 4452-2011《室外消火栓》、合同及客户要求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ascii="Times New Roman" w:hAnsi="Times New Roman" w:eastAsia="宋体" w:cs="Times New Roman"/>
          <w:b/>
          <w:color w:val="000000" w:themeColor="text1"/>
          <w:spacing w:val="-10"/>
          <w:szCs w:val="21"/>
          <w:lang w:val="en-US" w:eastAsia="zh-CN"/>
        </w:rPr>
        <w:t>2021年3月10日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26"/>
          <w:szCs w:val="2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勇于创新、持续发展企业、品质一流、满足客户需求</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widowControl/>
              <w:spacing w:line="400" w:lineRule="exact"/>
              <w:rPr>
                <w:rFonts w:hint="default" w:ascii="宋体" w:hAnsi="宋体" w:eastAsia="宋体"/>
                <w:szCs w:val="22"/>
                <w:lang w:val="en-US" w:eastAsia="zh-CN"/>
              </w:rPr>
            </w:pPr>
            <w:r>
              <w:rPr>
                <w:rFonts w:hint="eastAsia" w:ascii="宋体" w:hAnsi="宋体" w:eastAsia="宋体"/>
                <w:szCs w:val="22"/>
                <w:lang w:eastAsia="zh-CN"/>
              </w:rPr>
              <w:t>客户需求---签订销售合同—采购</w:t>
            </w:r>
            <w:r>
              <w:rPr>
                <w:rFonts w:hint="eastAsia" w:ascii="宋体" w:hAnsi="宋体"/>
                <w:szCs w:val="22"/>
                <w:lang w:eastAsia="zh-CN"/>
              </w:rPr>
              <w:t>产品</w:t>
            </w:r>
            <w:r>
              <w:rPr>
                <w:rFonts w:hint="eastAsia" w:ascii="宋体" w:hAnsi="宋体" w:eastAsia="宋体"/>
                <w:szCs w:val="22"/>
                <w:lang w:eastAsia="zh-CN"/>
              </w:rPr>
              <w:t>—</w:t>
            </w:r>
            <w:r>
              <w:rPr>
                <w:rFonts w:hint="eastAsia" w:ascii="宋体" w:hAnsi="宋体"/>
                <w:szCs w:val="22"/>
                <w:lang w:eastAsia="zh-CN"/>
              </w:rPr>
              <w:t>产品</w:t>
            </w:r>
            <w:r>
              <w:rPr>
                <w:rFonts w:hint="eastAsia" w:ascii="宋体" w:hAnsi="宋体" w:eastAsia="宋体"/>
                <w:szCs w:val="22"/>
                <w:lang w:eastAsia="zh-CN"/>
              </w:rPr>
              <w:t>验收—交付</w:t>
            </w:r>
            <w:r>
              <w:rPr>
                <w:rFonts w:hint="eastAsia" w:ascii="宋体" w:hAnsi="宋体"/>
                <w:szCs w:val="22"/>
                <w:lang w:eastAsia="zh-CN"/>
              </w:rPr>
              <w:t>产品</w:t>
            </w:r>
            <w:r>
              <w:rPr>
                <w:rFonts w:hint="eastAsia" w:ascii="宋体" w:hAnsi="宋体"/>
                <w:szCs w:val="22"/>
                <w:lang w:val="en-US" w:eastAsia="zh-CN"/>
              </w:rPr>
              <w:t>---售后服务</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关键过程：销售服务过程。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需确认/特殊过程：销售服务过程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sz w:val="21"/>
                <w:szCs w:val="21"/>
              </w:rPr>
              <w:t>按照顾客的购买要求出售商品，不需要进一步细化顾客的要求，整个销售过程不涉及设计开发</w:t>
            </w:r>
            <w:r>
              <w:rPr>
                <w:rFonts w:hint="eastAsia" w:ascii="宋体" w:hAnsi="宋体"/>
                <w:sz w:val="21"/>
                <w:szCs w:val="21"/>
                <w:lang w:eastAsia="zh-CN"/>
              </w:rPr>
              <w:t>过程</w:t>
            </w:r>
            <w:r>
              <w:rPr>
                <w:rFonts w:hint="eastAsia" w:ascii="宋体" w:hAnsi="宋体"/>
                <w:sz w:val="21"/>
                <w:szCs w:val="21"/>
              </w:rPr>
              <w:t>。故GB/T19001-2016标准8.3条款不适用，对于该条款的不适用不影响组织向顾客提供合格产品及满足相关法律法规要求的能力和责任</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eastAsia="zh-CN"/>
              </w:rPr>
              <w:t>a</w:t>
            </w:r>
            <w:r>
              <w:rPr>
                <w:rFonts w:hint="eastAsia" w:ascii="宋体" w:hAnsi="宋体" w:cs="宋体"/>
                <w:color w:val="000000"/>
                <w:kern w:val="0"/>
                <w:szCs w:val="21"/>
              </w:rPr>
              <w:t>、</w:t>
            </w:r>
            <w:r>
              <w:rPr>
                <w:rFonts w:hint="eastAsia" w:ascii="宋体" w:hAnsi="宋体" w:cs="宋体"/>
                <w:color w:val="000000"/>
                <w:kern w:val="0"/>
                <w:szCs w:val="21"/>
                <w:lang w:eastAsia="zh-CN"/>
              </w:rPr>
              <w:t>产品及时交付率100%</w:t>
            </w:r>
            <w:r>
              <w:rPr>
                <w:rFonts w:hint="eastAsia" w:ascii="宋体" w:hAnsi="宋体" w:cs="宋体"/>
                <w:color w:val="000000"/>
                <w:kern w:val="0"/>
                <w:szCs w:val="21"/>
              </w:rPr>
              <w:t>；</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b</w:t>
            </w:r>
            <w:r>
              <w:rPr>
                <w:rFonts w:hint="eastAsia" w:ascii="宋体" w:hAnsi="宋体" w:cs="宋体"/>
                <w:color w:val="000000"/>
                <w:kern w:val="0"/>
                <w:szCs w:val="21"/>
              </w:rPr>
              <w:t>、</w:t>
            </w:r>
            <w:r>
              <w:rPr>
                <w:rFonts w:hint="eastAsia" w:ascii="宋体" w:hAnsi="宋体" w:cs="宋体"/>
                <w:color w:val="000000"/>
                <w:kern w:val="0"/>
                <w:szCs w:val="21"/>
                <w:lang w:eastAsia="zh-CN"/>
              </w:rPr>
              <w:t>客户满意度≥90分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w:t>
            </w:r>
            <w:r>
              <w:rPr>
                <w:rFonts w:hint="eastAsia" w:ascii="宋体" w:hAnsi="宋体" w:eastAsia="宋体" w:cs="宋体"/>
                <w:color w:val="000000" w:themeColor="text1"/>
              </w:rPr>
              <w:t>于</w:t>
            </w:r>
            <w:r>
              <w:rPr>
                <w:rFonts w:hint="eastAsia" w:ascii="宋体" w:hAnsi="宋体" w:eastAsia="宋体" w:cs="宋体"/>
                <w:color w:val="000000" w:themeColor="text1"/>
                <w:lang w:val="en-US" w:eastAsia="zh-CN"/>
              </w:rPr>
              <w:t>2021年3月10日</w:t>
            </w:r>
            <w:r>
              <w:rPr>
                <w:rFonts w:hint="eastAsia" w:ascii="宋体" w:hAnsi="宋体" w:eastAsia="宋体" w:cs="宋体"/>
                <w:color w:val="000000" w:themeColor="text1"/>
              </w:rPr>
              <w:t>予以发布并有效实施运行，经对文件评审判定：符合标准要求，符合公司的实</w:t>
            </w:r>
            <w:r>
              <w:rPr>
                <w:rFonts w:hint="eastAsia" w:ascii="宋体" w:hAnsi="宋体" w:cs="宋体"/>
                <w:color w:val="000000" w:themeColor="text1"/>
              </w:rPr>
              <w:t>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color w:val="auto"/>
              </w:rPr>
              <w:t>组</w:t>
            </w:r>
            <w:r>
              <w:rPr>
                <w:rFonts w:hint="eastAsia" w:ascii="宋体" w:hAnsi="宋体"/>
                <w:bCs/>
                <w:iCs/>
                <w:color w:val="auto"/>
                <w:szCs w:val="22"/>
              </w:rPr>
              <w:t>织按管理体系需求配置了充足的人员、设施等资源，并建立维持了</w:t>
            </w:r>
            <w:r>
              <w:rPr>
                <w:rFonts w:hint="eastAsia" w:ascii="宋体" w:hAnsi="宋体"/>
                <w:color w:val="auto"/>
                <w:szCs w:val="21"/>
              </w:rPr>
              <w:t>产品的生产</w:t>
            </w:r>
            <w:r>
              <w:rPr>
                <w:rFonts w:hint="eastAsia" w:ascii="宋体" w:hAnsi="宋体"/>
                <w:bCs/>
                <w:iCs/>
                <w:color w:val="auto"/>
                <w:szCs w:val="22"/>
              </w:rPr>
              <w:t>及相关服务运行环境，可以维持管理体系的正常运行。</w:t>
            </w:r>
          </w:p>
          <w:p>
            <w:pPr>
              <w:spacing w:line="300" w:lineRule="exact"/>
              <w:rPr>
                <w:rFonts w:ascii="宋体" w:hAnsi="宋体"/>
                <w:b/>
                <w:color w:val="auto"/>
                <w:sz w:val="20"/>
                <w:szCs w:val="20"/>
              </w:rPr>
            </w:pPr>
            <w:r>
              <w:rPr>
                <w:rFonts w:hint="eastAsia" w:ascii="宋体" w:hAnsi="宋体"/>
                <w:bCs/>
                <w:iCs/>
                <w:color w:val="auto"/>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highlight w:val="none"/>
              </w:rPr>
            </w:pPr>
            <w:r>
              <w:rPr>
                <w:rFonts w:hint="eastAsia" w:ascii="宋体" w:hAnsi="宋体"/>
                <w:b/>
                <w:color w:val="auto"/>
                <w:sz w:val="20"/>
                <w:szCs w:val="20"/>
              </w:rPr>
              <w:t>设备设施（包括信息系统）、</w:t>
            </w:r>
          </w:p>
          <w:p>
            <w:pPr>
              <w:spacing w:line="400" w:lineRule="exact"/>
              <w:ind w:firstLine="420" w:firstLineChars="200"/>
              <w:rPr>
                <w:rFonts w:ascii="宋体" w:hAnsi="宋体"/>
                <w:b/>
                <w:color w:val="auto"/>
                <w:sz w:val="20"/>
                <w:szCs w:val="20"/>
              </w:rPr>
            </w:pPr>
            <w:r>
              <w:rPr>
                <w:rFonts w:hint="eastAsia"/>
                <w:color w:val="auto"/>
                <w:sz w:val="21"/>
                <w:szCs w:val="21"/>
                <w:highlight w:val="none"/>
                <w:lang w:val="en-US" w:eastAsia="zh-CN"/>
              </w:rPr>
              <w:t>组织为租赁的办公场地，</w:t>
            </w:r>
            <w:r>
              <w:rPr>
                <w:rFonts w:hint="eastAsia" w:ascii="宋体" w:hAnsi="宋体"/>
                <w:color w:val="auto"/>
                <w:szCs w:val="21"/>
                <w:highlight w:val="none"/>
              </w:rPr>
              <w:t>办公面积</w:t>
            </w:r>
            <w:r>
              <w:rPr>
                <w:rFonts w:hint="eastAsia" w:ascii="宋体" w:hAnsi="宋体"/>
                <w:color w:val="auto"/>
                <w:szCs w:val="21"/>
                <w:highlight w:val="none"/>
                <w:lang w:val="en-US" w:eastAsia="zh-CN"/>
              </w:rPr>
              <w:t>16</w:t>
            </w:r>
            <w:bookmarkStart w:id="21" w:name="_GoBack"/>
            <w:bookmarkEnd w:id="21"/>
            <w:r>
              <w:rPr>
                <w:rFonts w:hint="eastAsia" w:ascii="宋体" w:hAnsi="宋体"/>
                <w:color w:val="auto"/>
                <w:szCs w:val="21"/>
                <w:highlight w:val="none"/>
                <w:lang w:val="en-US" w:eastAsia="zh-CN"/>
              </w:rPr>
              <w:t>0</w:t>
            </w:r>
            <w:r>
              <w:rPr>
                <w:rFonts w:hint="eastAsia" w:ascii="宋体" w:hAnsi="宋体"/>
                <w:color w:val="auto"/>
                <w:szCs w:val="21"/>
                <w:highlight w:val="none"/>
              </w:rPr>
              <w:t>平方左右</w:t>
            </w:r>
            <w:r>
              <w:rPr>
                <w:rFonts w:hint="eastAsia"/>
                <w:color w:val="auto"/>
                <w:sz w:val="21"/>
                <w:szCs w:val="21"/>
                <w:highlight w:val="none"/>
                <w:lang w:val="en-US" w:eastAsia="zh-CN"/>
              </w:rPr>
              <w:t>.</w:t>
            </w:r>
            <w:r>
              <w:rPr>
                <w:rFonts w:hint="eastAsia" w:ascii="宋体" w:hAnsi="宋体"/>
                <w:color w:val="auto"/>
                <w:szCs w:val="21"/>
                <w:highlight w:val="none"/>
              </w:rPr>
              <w:t>设置</w:t>
            </w:r>
            <w:r>
              <w:rPr>
                <w:rFonts w:hint="eastAsia" w:ascii="宋体" w:hAnsi="宋体"/>
                <w:color w:val="auto"/>
                <w:szCs w:val="21"/>
                <w:highlight w:val="none"/>
                <w:lang w:val="en-US" w:eastAsia="zh-CN"/>
              </w:rPr>
              <w:t>100平米的</w:t>
            </w:r>
            <w:r>
              <w:rPr>
                <w:rFonts w:hint="eastAsia" w:ascii="宋体" w:hAnsi="宋体"/>
                <w:color w:val="auto"/>
                <w:szCs w:val="21"/>
                <w:highlight w:val="none"/>
              </w:rPr>
              <w:t>库房</w:t>
            </w:r>
            <w:r>
              <w:rPr>
                <w:rFonts w:hint="eastAsia" w:ascii="宋体" w:hAnsi="宋体"/>
                <w:color w:val="auto"/>
                <w:szCs w:val="21"/>
                <w:highlight w:val="none"/>
                <w:lang w:val="en-US" w:eastAsia="zh-CN"/>
              </w:rPr>
              <w:t>作</w:t>
            </w:r>
            <w:r>
              <w:rPr>
                <w:rFonts w:hint="eastAsia" w:ascii="宋体" w:hAnsi="宋体"/>
                <w:color w:val="auto"/>
                <w:szCs w:val="21"/>
                <w:highlight w:val="none"/>
              </w:rPr>
              <w:t>周转</w:t>
            </w:r>
            <w:r>
              <w:rPr>
                <w:rFonts w:hint="eastAsia" w:ascii="宋体" w:hAnsi="宋体"/>
                <w:color w:val="auto"/>
                <w:szCs w:val="21"/>
                <w:highlight w:val="none"/>
                <w:lang w:val="en-US" w:eastAsia="zh-CN"/>
              </w:rPr>
              <w:t>使用</w:t>
            </w:r>
            <w:r>
              <w:rPr>
                <w:rFonts w:hint="eastAsia" w:ascii="宋体" w:hAnsi="宋体"/>
                <w:color w:val="auto"/>
                <w:szCs w:val="21"/>
                <w:highlight w:val="none"/>
              </w:rPr>
              <w:t>。</w:t>
            </w:r>
            <w:r>
              <w:rPr>
                <w:rFonts w:hint="eastAsia" w:ascii="宋体" w:hAnsi="宋体" w:cs="宋体"/>
                <w:color w:val="auto"/>
                <w:szCs w:val="21"/>
                <w:highlight w:val="none"/>
              </w:rPr>
              <w:t>主要生产设备包括</w:t>
            </w:r>
            <w:r>
              <w:rPr>
                <w:rFonts w:hint="eastAsia" w:ascii="宋体" w:hAnsi="宋体" w:cs="宋体"/>
                <w:color w:val="auto"/>
                <w:szCs w:val="21"/>
                <w:highlight w:val="none"/>
                <w:lang w:val="en-US" w:eastAsia="zh-CN"/>
              </w:rPr>
              <w:t>小汽车（1辆）</w:t>
            </w:r>
            <w:r>
              <w:rPr>
                <w:rFonts w:hint="eastAsia" w:ascii="宋体" w:hAnsi="宋体" w:cs="宋体"/>
                <w:color w:val="auto"/>
                <w:szCs w:val="21"/>
                <w:highlight w:val="none"/>
              </w:rPr>
              <w:t>、</w:t>
            </w:r>
            <w:r>
              <w:rPr>
                <w:rFonts w:hint="eastAsia"/>
                <w:color w:val="auto"/>
                <w:szCs w:val="21"/>
                <w:highlight w:val="none"/>
              </w:rPr>
              <w:t>电脑及办公设备</w:t>
            </w:r>
            <w:r>
              <w:rPr>
                <w:rStyle w:val="17"/>
                <w:rFonts w:hint="eastAsia" w:ascii="宋体" w:hAnsi="宋体"/>
                <w:color w:val="auto"/>
                <w:szCs w:val="21"/>
                <w:highlight w:val="none"/>
              </w:rPr>
              <w:t>等</w:t>
            </w:r>
            <w:r>
              <w:rPr>
                <w:rFonts w:hint="eastAsia" w:ascii="宋体" w:hAnsi="宋体" w:cs="宋体"/>
                <w:color w:val="auto"/>
                <w:szCs w:val="21"/>
                <w:highlight w:val="none"/>
              </w:rPr>
              <w:t>，可以满足</w:t>
            </w:r>
            <w:r>
              <w:rPr>
                <w:rFonts w:hint="eastAsia" w:ascii="宋体" w:hAnsi="宋体"/>
                <w:color w:val="auto"/>
                <w:szCs w:val="21"/>
                <w:highlight w:val="none"/>
                <w:lang w:eastAsia="zh-CN"/>
              </w:rPr>
              <w:t>阀门、消防器材、管材的销售</w:t>
            </w:r>
            <w:r>
              <w:rPr>
                <w:rFonts w:hint="eastAsia" w:ascii="宋体" w:hAnsi="宋体"/>
                <w:color w:val="auto"/>
                <w:szCs w:val="21"/>
                <w:highlight w:val="none"/>
                <w:lang w:val="en-US" w:eastAsia="zh-CN"/>
              </w:rPr>
              <w:t>需要</w:t>
            </w:r>
            <w:r>
              <w:rPr>
                <w:rFonts w:hint="eastAsia" w:ascii="宋体" w:hAnsi="宋体" w:cs="宋体"/>
                <w:color w:val="auto"/>
                <w:szCs w:val="21"/>
                <w:highlight w:val="none"/>
              </w:rPr>
              <w:t>。特种设备：</w:t>
            </w:r>
            <w:r>
              <w:rPr>
                <w:rFonts w:hint="eastAsia"/>
                <w:color w:val="auto"/>
                <w:szCs w:val="21"/>
                <w:highlight w:val="none"/>
              </w:rPr>
              <w:t>无</w:t>
            </w:r>
            <w:r>
              <w:rPr>
                <w:rFonts w:hint="eastAsia" w:ascii="宋体" w:hAnsi="宋体"/>
                <w:color w:val="auto"/>
                <w:szCs w:val="21"/>
                <w:highlight w:val="none"/>
              </w:rPr>
              <w:t>。</w:t>
            </w:r>
            <w:r>
              <w:rPr>
                <w:rFonts w:hint="eastAsia" w:ascii="宋体" w:hAnsi="宋体" w:cs="宋体"/>
                <w:color w:val="auto"/>
                <w:szCs w:val="21"/>
                <w:highlight w:val="none"/>
              </w:rPr>
              <w:t>公司未建立信息管理系统用于生产和服务</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napToGrid w:val="0"/>
              <w:spacing w:line="280" w:lineRule="exact"/>
              <w:ind w:firstLine="420" w:firstLineChars="200"/>
              <w:jc w:val="left"/>
              <w:rPr>
                <w:rFonts w:ascii="宋体" w:hAnsi="宋体"/>
                <w:b/>
                <w:color w:val="000000" w:themeColor="text1"/>
                <w:sz w:val="20"/>
                <w:szCs w:val="20"/>
              </w:rPr>
            </w:pPr>
            <w:r>
              <w:rPr>
                <w:rFonts w:hint="eastAsia" w:ascii="宋体" w:hAnsi="宋体" w:cs="宋体"/>
                <w:color w:val="auto"/>
                <w:sz w:val="21"/>
                <w:szCs w:val="21"/>
                <w:highlight w:val="none"/>
              </w:rPr>
              <w:t>公司只对</w:t>
            </w:r>
            <w:r>
              <w:rPr>
                <w:rFonts w:hint="eastAsia" w:ascii="宋体" w:hAnsi="宋体" w:cs="宋体"/>
                <w:color w:val="auto"/>
                <w:sz w:val="21"/>
                <w:szCs w:val="21"/>
                <w:highlight w:val="none"/>
                <w:lang w:eastAsia="zh-CN"/>
              </w:rPr>
              <w:t>所销售产品的</w:t>
            </w:r>
            <w:r>
              <w:rPr>
                <w:rFonts w:hint="eastAsia" w:ascii="宋体" w:hAnsi="宋体" w:cs="宋体"/>
                <w:color w:val="auto"/>
                <w:sz w:val="21"/>
                <w:szCs w:val="21"/>
                <w:highlight w:val="none"/>
              </w:rPr>
              <w:t>名称、规格型号、外观、</w:t>
            </w:r>
            <w:r>
              <w:rPr>
                <w:rFonts w:hint="eastAsia" w:ascii="宋体" w:hAnsi="宋体" w:cs="宋体"/>
                <w:color w:val="auto"/>
                <w:sz w:val="21"/>
                <w:szCs w:val="21"/>
                <w:highlight w:val="none"/>
                <w:lang w:eastAsia="zh-CN"/>
              </w:rPr>
              <w:t>合格证、资料文件完整性</w:t>
            </w:r>
            <w:r>
              <w:rPr>
                <w:rFonts w:hint="eastAsia" w:ascii="宋体" w:hAnsi="宋体" w:cs="宋体"/>
                <w:color w:val="auto"/>
                <w:sz w:val="21"/>
                <w:szCs w:val="21"/>
                <w:highlight w:val="none"/>
              </w:rPr>
              <w:t>等进行验证；质量技术特性由供方提供，</w:t>
            </w:r>
            <w:r>
              <w:rPr>
                <w:rFonts w:hint="eastAsia" w:ascii="宋体" w:hAnsi="宋体" w:cs="宋体"/>
                <w:color w:val="auto"/>
                <w:sz w:val="21"/>
                <w:szCs w:val="21"/>
                <w:highlight w:val="none"/>
                <w:lang w:eastAsia="zh-CN"/>
              </w:rPr>
              <w:t>最终由顾客进行验收确认的方式对所销售产品进行检验。</w:t>
            </w:r>
            <w:r>
              <w:rPr>
                <w:rFonts w:hint="eastAsia" w:ascii="宋体" w:hAnsi="宋体" w:cs="宋体"/>
                <w:color w:val="auto"/>
                <w:sz w:val="21"/>
                <w:szCs w:val="21"/>
                <w:highlight w:val="none"/>
              </w:rPr>
              <w:t>故公司无监视和测量设备</w:t>
            </w:r>
            <w:r>
              <w:rPr>
                <w:rFonts w:hint="eastAsia"/>
                <w:color w:val="000000" w:themeColor="text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销售服务过程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cs="Times New Roman"/>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themeColor="text1"/>
                <w:szCs w:val="21"/>
              </w:rPr>
              <w:t>同时，质量目标得到沟通和监视评价，通</w:t>
            </w:r>
            <w:r>
              <w:rPr>
                <w:rFonts w:hint="eastAsia" w:ascii="宋体" w:hAnsi="宋体" w:cs="宋体"/>
                <w:color w:val="auto"/>
                <w:szCs w:val="21"/>
              </w:rPr>
              <w:t>过数据的汇总统计、描述性统计等方法对目标进行了测量，总体已达到或超过了规定的目标值。通过20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w:t>
            </w:r>
            <w:r>
              <w:rPr>
                <w:rFonts w:hint="eastAsia" w:ascii="宋体" w:hAnsi="宋体" w:cs="宋体"/>
                <w:color w:val="000000" w:themeColor="text1"/>
                <w:szCs w:val="21"/>
              </w:rPr>
              <w:t>程序，对顾客投诉处理及顾客满意度评价做了明确的规定，并按规定对顾客反馈及时处理，但在顾</w:t>
            </w:r>
            <w:r>
              <w:rPr>
                <w:rFonts w:hint="eastAsia" w:ascii="宋体" w:hAnsi="宋体" w:cs="宋体"/>
                <w:color w:val="auto"/>
                <w:szCs w:val="21"/>
              </w:rPr>
              <w:t>客反馈信息的利用上不够，需要改善。近年来未发生重大顾客投诉和产品质量事故。顾客满意度调查按规定实施，20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月实施，满意度评价</w:t>
            </w:r>
            <w:r>
              <w:rPr>
                <w:rFonts w:hint="eastAsia" w:ascii="宋体" w:hAnsi="宋体" w:cs="宋体"/>
                <w:color w:val="auto"/>
                <w:szCs w:val="21"/>
                <w:lang w:val="en-US" w:eastAsia="zh-CN"/>
              </w:rPr>
              <w:t>96分</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ascii="宋体" w:hAnsi="宋体" w:eastAsia="宋体" w:cs="宋体"/>
                <w:szCs w:val="21"/>
              </w:rPr>
              <w:t>202</w:t>
            </w:r>
            <w:r>
              <w:rPr>
                <w:rFonts w:hint="eastAsia" w:ascii="宋体" w:hAnsi="宋体" w:eastAsia="宋体" w:cs="宋体"/>
                <w:szCs w:val="21"/>
                <w:lang w:val="en-US" w:eastAsia="zh-CN"/>
              </w:rPr>
              <w:t>1年06月10日</w:t>
            </w:r>
            <w:r>
              <w:rPr>
                <w:rFonts w:hint="eastAsia" w:ascii="宋体" w:hAnsi="宋体" w:eastAsia="宋体" w:cs="宋体"/>
                <w:szCs w:val="21"/>
              </w:rPr>
              <w:t>，</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lang w:eastAsia="zh-CN"/>
              </w:rPr>
              <w:t>涉及行政部</w:t>
            </w:r>
            <w:r>
              <w:rPr>
                <w:rFonts w:hint="eastAsia"/>
                <w:sz w:val="21"/>
                <w:szCs w:val="21"/>
                <w:lang w:val="en-US" w:eastAsia="zh-CN"/>
              </w:rPr>
              <w:t>7.2</w:t>
            </w:r>
            <w:r>
              <w:rPr>
                <w:rFonts w:hint="eastAsia"/>
                <w:sz w:val="21"/>
                <w:szCs w:val="21"/>
                <w:lang w:eastAsia="zh-CN"/>
              </w:rPr>
              <w:t>条款不符合事实描述“在现场检查培训记录时发现，</w:t>
            </w:r>
            <w:r>
              <w:rPr>
                <w:rFonts w:hint="eastAsia"/>
                <w:sz w:val="21"/>
                <w:szCs w:val="21"/>
                <w:lang w:val="en-US" w:eastAsia="zh-CN"/>
              </w:rPr>
              <w:t>对销售部人员进行销售技巧培训时，</w:t>
            </w:r>
            <w:r>
              <w:rPr>
                <w:rFonts w:hint="eastAsia"/>
                <w:sz w:val="21"/>
                <w:szCs w:val="21"/>
                <w:lang w:eastAsia="zh-CN"/>
              </w:rPr>
              <w:t>未见相关负责人对培训效果的评价”，</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2021年6月25日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val="0"/>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宋体" w:cs="Times New Roman"/>
                <w:b/>
                <w:color w:val="000000" w:themeColor="text1"/>
                <w:sz w:val="20"/>
                <w:szCs w:val="20"/>
              </w:rPr>
            </w:pPr>
            <w:r>
              <w:rPr>
                <w:rFonts w:hint="eastAsia"/>
                <w:b/>
                <w:color w:val="000000" w:themeColor="text1"/>
                <w:spacing w:val="-20"/>
                <w:sz w:val="20"/>
                <w:szCs w:val="20"/>
                <w:lang w:val="en-US" w:eastAsia="zh-CN"/>
              </w:rPr>
              <w:t>3.</w:t>
            </w:r>
            <w:r>
              <w:rPr>
                <w:rFonts w:hint="eastAsia"/>
                <w:b/>
                <w:color w:val="000000" w:themeColor="text1"/>
                <w:spacing w:val="-20"/>
                <w:sz w:val="20"/>
                <w:szCs w:val="20"/>
              </w:rPr>
              <w:t>一</w:t>
            </w:r>
            <w:r>
              <w:rPr>
                <w:rFonts w:hint="eastAsia" w:ascii="Times New Roman" w:hAnsi="Times New Roman" w:eastAsia="宋体" w:cs="Times New Roman"/>
                <w:b/>
                <w:color w:val="000000" w:themeColor="text1"/>
                <w:sz w:val="20"/>
                <w:szCs w:val="20"/>
              </w:rPr>
              <w:t>阶段提出问题的整改情况?</w:t>
            </w:r>
          </w:p>
          <w:p>
            <w:pPr>
              <w:spacing w:line="240" w:lineRule="exact"/>
              <w:rPr>
                <w:b/>
                <w:color w:val="000000" w:themeColor="text1"/>
                <w:spacing w:val="-20"/>
                <w:sz w:val="20"/>
                <w:szCs w:val="20"/>
              </w:rPr>
            </w:pPr>
            <w:r>
              <w:rPr>
                <w:rFonts w:hint="eastAsia" w:ascii="Times New Roman" w:hAnsi="Times New Roman" w:eastAsia="宋体" w:cs="Times New Roman"/>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before="312" w:beforeLines="100" w:line="320" w:lineRule="exact"/>
        <w:ind w:left="-1" w:leftChars="-337" w:hanging="707" w:hangingChars="271"/>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w:t>
      </w:r>
      <w:r>
        <w:rPr>
          <w:rFonts w:hint="eastAsia" w:ascii="Times New Roman" w:hAnsi="Times New Roman" w:eastAsia="宋体" w:cs="Times New Roman"/>
          <w:b/>
          <w:color w:val="000000" w:themeColor="text1"/>
          <w:highlight w:val="none"/>
        </w:rPr>
        <w:t>项报告</w:t>
      </w:r>
      <w:r>
        <w:rPr>
          <w:rFonts w:hint="eastAsia" w:ascii="Times New Roman" w:hAnsi="Times New Roman" w:eastAsia="宋体" w:cs="Times New Roman"/>
          <w:b/>
          <w:color w:val="000000" w:themeColor="text1"/>
          <w:highlight w:val="none"/>
          <w:lang w:val="en-US" w:eastAsia="zh-CN"/>
        </w:rPr>
        <w:t>1</w:t>
      </w:r>
      <w:r>
        <w:rPr>
          <w:rFonts w:hint="eastAsia" w:ascii="Times New Roman" w:hAnsi="Times New Roman" w:eastAsia="宋体" w:cs="Times New Roman"/>
          <w:b/>
          <w:color w:val="000000" w:themeColor="text1"/>
          <w:highlight w:val="none"/>
        </w:rPr>
        <w:t>项；其中</w:t>
      </w:r>
      <w:r>
        <w:rPr>
          <w:rFonts w:hint="eastAsia" w:ascii="Times New Roman" w:hAnsi="Times New Roman" w:eastAsia="宋体" w:cs="Times New Roman"/>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ascii="Times New Roman" w:hAnsi="Times New Roman" w:eastAsia="宋体" w:cs="Times New Roman"/>
          <w:b/>
          <w:color w:val="000000" w:themeColor="text1"/>
          <w:highlight w:val="none"/>
        </w:rPr>
        <w:t>严重不符合</w:t>
      </w:r>
      <w:r>
        <w:rPr>
          <w:rFonts w:hint="eastAsia" w:ascii="Times New Roman" w:hAnsi="Times New Roman" w:eastAsia="宋体" w:cs="Times New Roman"/>
          <w:b/>
          <w:color w:val="000000" w:themeColor="text1"/>
          <w:highlight w:val="none"/>
          <w:lang w:val="en-US" w:eastAsia="zh-CN"/>
        </w:rPr>
        <w:t>0</w:t>
      </w:r>
      <w:r>
        <w:rPr>
          <w:rFonts w:hint="eastAsia" w:ascii="Times New Roman" w:hAnsi="Times New Roman" w:eastAsia="宋体" w:cs="Times New Roman"/>
          <w:b/>
          <w:color w:val="000000" w:themeColor="text1"/>
          <w:highlight w:val="none"/>
        </w:rPr>
        <w:t>项，一般不符合</w:t>
      </w:r>
      <w:r>
        <w:rPr>
          <w:rFonts w:hint="eastAsia" w:ascii="Times New Roman" w:hAnsi="Times New Roman" w:eastAsia="宋体" w:cs="Times New Roman"/>
          <w:b/>
          <w:color w:val="000000" w:themeColor="text1"/>
          <w:highlight w:val="none"/>
          <w:lang w:val="en-US" w:eastAsia="zh-CN"/>
        </w:rPr>
        <w:t>1</w:t>
      </w:r>
      <w:r>
        <w:rPr>
          <w:rFonts w:hint="eastAsia" w:ascii="Times New Roman" w:hAnsi="Times New Roman" w:eastAsia="宋体" w:cs="Times New Roman"/>
          <w:b/>
          <w:color w:val="000000" w:themeColor="text1"/>
          <w:highlight w:val="none"/>
        </w:rPr>
        <w:t>项，观察项</w:t>
      </w:r>
      <w:r>
        <w:rPr>
          <w:rFonts w:hint="eastAsia" w:ascii="Times New Roman" w:hAnsi="Times New Roman" w:eastAsia="宋体" w:cs="Times New Roman"/>
          <w:b/>
          <w:color w:val="000000" w:themeColor="text1"/>
          <w:highlight w:val="none"/>
          <w:lang w:val="en-US" w:eastAsia="zh-CN"/>
        </w:rPr>
        <w:t>0</w:t>
      </w:r>
      <w:r>
        <w:rPr>
          <w:rFonts w:hint="eastAsia" w:ascii="Times New Roman" w:hAnsi="Times New Roman" w:eastAsia="宋体" w:cs="Times New Roman"/>
          <w:b/>
          <w:color w:val="000000" w:themeColor="text1"/>
          <w:highlight w:val="none"/>
        </w:rPr>
        <w:t>项分布在采购部部门</w:t>
      </w:r>
      <w:r>
        <w:rPr>
          <w:rFonts w:hint="eastAsia" w:ascii="Times New Roman" w:hAnsi="Times New Roman" w:eastAsia="宋体" w:cs="Times New Roman"/>
          <w:b/>
          <w:color w:val="000000" w:themeColor="text1"/>
          <w:highlight w:val="none"/>
          <w:lang w:val="en-US" w:eastAsia="zh-CN"/>
        </w:rPr>
        <w:t>8.4.1</w:t>
      </w:r>
      <w:r>
        <w:rPr>
          <w:rFonts w:hint="eastAsia" w:ascii="Times New Roman" w:hAnsi="Times New Roman" w:eastAsia="宋体" w:cs="Times New Roman"/>
          <w:b/>
          <w:color w:val="000000" w:themeColor="text1"/>
          <w:highlight w:val="none"/>
        </w:rPr>
        <w:t>条款，分布见附件</w:t>
      </w:r>
      <w:r>
        <w:rPr>
          <w:rFonts w:hint="eastAsia"/>
          <w:b/>
          <w:color w:val="000000" w:themeColor="text1"/>
          <w:highlight w:val="none"/>
        </w:rPr>
        <w:t>。（Q/J/E/S分开填写）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阀门、消防器材、管材的销售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 xml:space="preserve">  30 </w:t>
      </w:r>
      <w:r>
        <w:rPr>
          <w:rFonts w:hint="eastAsia"/>
          <w:b/>
          <w:color w:val="000000" w:themeColor="text1"/>
        </w:rPr>
        <w:t>天/严重不符合在</w:t>
      </w:r>
      <w:r>
        <w:rPr>
          <w:rFonts w:hint="eastAsia"/>
          <w:b/>
          <w:color w:val="000000" w:themeColor="text1"/>
          <w:u w:val="single"/>
          <w:lang w:val="en-US" w:eastAsia="zh-CN"/>
        </w:rPr>
        <w:t xml:space="preserve"> 60 </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bCs/>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仿宋" w:hAnsi="仿宋" w:eastAsia="仿宋" w:cstheme="minorBidi"/>
          <w:b/>
          <w:bCs/>
          <w:color w:val="000000" w:themeColor="text1"/>
          <w:kern w:val="24"/>
          <w:sz w:val="28"/>
          <w:szCs w:val="28"/>
        </w:rPr>
        <w:t>任何影响审核方案的重要事项</w:t>
      </w:r>
      <w:r>
        <w:rPr>
          <w:rFonts w:hint="eastAsia"/>
          <w:b/>
          <w:bCs/>
          <w:color w:val="000000" w:themeColor="text1"/>
          <w:sz w:val="26"/>
          <w:szCs w:val="26"/>
        </w:rPr>
        <w:t>：</w:t>
      </w:r>
      <w:r>
        <w:rPr>
          <w:rFonts w:hint="eastAsia"/>
          <w:b/>
          <w:bCs/>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714560" behindDoc="0" locked="0" layoutInCell="1" allowOverlap="1">
            <wp:simplePos x="0" y="0"/>
            <wp:positionH relativeFrom="column">
              <wp:posOffset>1640205</wp:posOffset>
            </wp:positionH>
            <wp:positionV relativeFrom="paragraph">
              <wp:posOffset>356235</wp:posOffset>
            </wp:positionV>
            <wp:extent cx="681355" cy="424180"/>
            <wp:effectExtent l="0" t="0" r="4445" b="7620"/>
            <wp:wrapNone/>
            <wp:docPr id="3"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712512" behindDoc="0" locked="0" layoutInCell="1" allowOverlap="1">
            <wp:simplePos x="0" y="0"/>
            <wp:positionH relativeFrom="column">
              <wp:posOffset>1605280</wp:posOffset>
            </wp:positionH>
            <wp:positionV relativeFrom="paragraph">
              <wp:posOffset>61595</wp:posOffset>
            </wp:positionV>
            <wp:extent cx="654050" cy="472440"/>
            <wp:effectExtent l="0" t="0" r="6350" b="1016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54050" cy="47244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color w:val="000000"/>
          <w:szCs w:val="21"/>
        </w:rPr>
        <w:t>2021年07月15日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1</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ascii="宋体" w:hAnsi="宋体"/>
        </w:rPr>
        <w:drawing>
          <wp:anchor distT="0" distB="0" distL="114300" distR="114300" simplePos="0" relativeHeight="251771904" behindDoc="0" locked="0" layoutInCell="1" allowOverlap="1">
            <wp:simplePos x="0" y="0"/>
            <wp:positionH relativeFrom="column">
              <wp:posOffset>890905</wp:posOffset>
            </wp:positionH>
            <wp:positionV relativeFrom="paragraph">
              <wp:posOffset>91440</wp:posOffset>
            </wp:positionV>
            <wp:extent cx="681355" cy="424180"/>
            <wp:effectExtent l="0" t="0" r="4445" b="7620"/>
            <wp:wrapNone/>
            <wp:docPr id="5"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 xml:space="preserve">2021年7月16日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0F0C1E"/>
    <w:rsid w:val="20DE4DC2"/>
    <w:rsid w:val="3E6C3897"/>
    <w:rsid w:val="602C7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2021-07-15T06:48:00Z</cp:lastPrinted>
  <dcterms:modified xsi:type="dcterms:W3CDTF">2021-07-15T09:15:13Z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