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重庆汇磊机械配件有限公司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0724-2021-Q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余昌建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13883245076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余昌建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平垫圈的生产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2021年07月11日 上午至2021年07月11日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9：0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BE0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2021-07-10T14:51:12Z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FBC7035EA0C74D23AF30428FC915E3A7</vt:lpwstr>
  </property>
</Properties>
</file>