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重庆卫士盾保安服务有限公司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胡婷婷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签订合同——人员派驻——实施服务——满意度回访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保安服务流程风险：人员素质、服务质量达到客户要求、服务过程人员安全风险等；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火灾和固废排放，采取管理方案和应急预案控制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火灾和意外伤害，采取应急预案、管理方案和培训管理进行控制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《保安服务管理条例》、《中华人民共和国消费者权益保护法》、《中华人民共和国安全消防法》、《中华人民共和国劳动合同法》、《中华人民共和国安全生产法》等。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保安服务考核内容：服务质量（安全性、及时性、态度等）；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133350</wp:posOffset>
            </wp:positionV>
            <wp:extent cx="800100" cy="443230"/>
            <wp:effectExtent l="0" t="0" r="7620" b="13970"/>
            <wp:wrapNone/>
            <wp:docPr id="5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64135</wp:posOffset>
            </wp:positionV>
            <wp:extent cx="634365" cy="400685"/>
            <wp:effectExtent l="0" t="0" r="5715" b="10795"/>
            <wp:wrapNone/>
            <wp:docPr id="6" name="图片 18" descr="962d336a2020d6789fbdd094ab0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 descr="962d336a2020d6789fbdd094ab0f0d0"/>
                    <pic:cNvPicPr>
                      <a:picLocks noChangeAspect="1"/>
                    </pic:cNvPicPr>
                  </pic:nvPicPr>
                  <pic:blipFill>
                    <a:blip r:embed="rId6"/>
                    <a:srcRect l="38850" t="53706" r="34988" b="3100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6360795</wp:posOffset>
            </wp:positionV>
            <wp:extent cx="690245" cy="382270"/>
            <wp:effectExtent l="0" t="0" r="10795" b="13970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6340475</wp:posOffset>
            </wp:positionV>
            <wp:extent cx="634365" cy="400685"/>
            <wp:effectExtent l="0" t="0" r="5715" b="10795"/>
            <wp:wrapNone/>
            <wp:docPr id="4" name="图片 18" descr="962d336a2020d6789fbdd094ab0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962d336a2020d6789fbdd094ab0f0d0"/>
                    <pic:cNvPicPr>
                      <a:picLocks noChangeAspect="1"/>
                    </pic:cNvPicPr>
                  </pic:nvPicPr>
                  <pic:blipFill>
                    <a:blip r:embed="rId6"/>
                    <a:srcRect l="38850" t="53706" r="34988" b="3100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2021.7.12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876E75"/>
    <w:rsid w:val="78430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2021-07-10T03:28:08Z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CD49B1C2F39E46118D60B221CB41542E</vt:lpwstr>
  </property>
</Properties>
</file>