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林兵</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2020-N1EMS-3059501</w:t>
            </w:r>
          </w:p>
          <w:p>
            <w:pPr>
              <w:jc w:val="center"/>
              <w:rPr>
                <w:b/>
                <w:sz w:val="21"/>
                <w:szCs w:val="21"/>
              </w:rPr>
            </w:pPr>
            <w:r>
              <w:rPr>
                <w:b/>
                <w:sz w:val="21"/>
                <w:szCs w:val="21"/>
              </w:rPr>
              <w:t>2019-N1OHSMS-2059501</w:t>
            </w:r>
          </w:p>
        </w:tc>
        <w:tc>
          <w:tcPr>
            <w:tcW w:w="1728" w:type="dxa"/>
            <w:gridSpan w:val="2"/>
            <w:vAlign w:val="center"/>
          </w:tcPr>
          <w:p>
            <w:pPr>
              <w:jc w:val="center"/>
              <w:rPr>
                <w:b/>
                <w:sz w:val="21"/>
                <w:szCs w:val="21"/>
              </w:rPr>
            </w:pPr>
            <w:r>
              <w:rPr>
                <w:b/>
                <w:sz w:val="21"/>
                <w:szCs w:val="21"/>
              </w:rPr>
              <w:t>E:29.11.05</w:t>
            </w:r>
          </w:p>
          <w:p>
            <w:pPr>
              <w:jc w:val="center"/>
              <w:rPr>
                <w:b/>
                <w:sz w:val="21"/>
                <w:szCs w:val="21"/>
              </w:rPr>
            </w:pPr>
            <w:r>
              <w:rPr>
                <w:b/>
                <w:sz w:val="21"/>
                <w:szCs w:val="21"/>
              </w:rPr>
              <w:t>O:29.11.05</w:t>
            </w:r>
          </w:p>
        </w:tc>
        <w:tc>
          <w:tcPr>
            <w:tcW w:w="1729" w:type="dxa"/>
            <w:gridSpan w:val="2"/>
            <w:vAlign w:val="center"/>
          </w:tcPr>
          <w:p>
            <w:pPr>
              <w:jc w:val="center"/>
              <w:rPr>
                <w:b/>
                <w:sz w:val="21"/>
                <w:szCs w:val="21"/>
              </w:rPr>
            </w:pPr>
            <w:r>
              <w:rPr>
                <w:b/>
                <w:sz w:val="21"/>
                <w:szCs w:val="21"/>
              </w:rPr>
              <w:t>ISC-59501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w:t>
      </w:r>
      <w:r>
        <w:rPr>
          <w:rFonts w:hint="eastAsia"/>
          <w:b/>
          <w:sz w:val="21"/>
          <w:szCs w:val="21"/>
          <w:lang w:val="en-US" w:eastAsia="zh-CN"/>
        </w:rPr>
        <w:t>EMS/OHSMS</w:t>
      </w:r>
      <w:r>
        <w:rPr>
          <w:rFonts w:hint="eastAsia"/>
          <w:b/>
          <w:sz w:val="21"/>
          <w:szCs w:val="21"/>
        </w:rPr>
        <w:t>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ISO45001：2018标准</w:t>
      </w:r>
    </w:p>
    <w:p>
      <w:pPr>
        <w:tabs>
          <w:tab w:val="left" w:pos="645"/>
        </w:tabs>
        <w:rPr>
          <w:b/>
          <w:sz w:val="21"/>
          <w:szCs w:val="21"/>
        </w:rPr>
      </w:pPr>
      <w:r>
        <w:rPr>
          <w:rFonts w:hint="eastAsia"/>
          <w:b/>
          <w:sz w:val="21"/>
          <w:szCs w:val="21"/>
          <w:lang w:val="en-US" w:eastAsia="zh-CN"/>
        </w:rPr>
        <w:t xml:space="preserve"> </w:t>
      </w: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上海店李贸易有限公司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 xml:space="preserve">无变化 </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上海闵行区新镇路1509弄3号302-B22室</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201100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生产地址"/>
            <w:r>
              <w:rPr>
                <w:rFonts w:ascii="宋体"/>
                <w:b/>
                <w:sz w:val="21"/>
              </w:rPr>
              <w:t>上海闵行区曲吴路589号6号楼301室</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200241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上海闵行区曲吴路589号6号楼301室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200241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李海强</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13641720613</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李长杰</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李海强</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2021年07月14日 上午至2021年07月15日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sz w:val="20"/>
              </w:rPr>
            </w:pPr>
            <w:bookmarkStart w:id="22" w:name="审核范围"/>
            <w:r>
              <w:rPr>
                <w:sz w:val="20"/>
              </w:rPr>
              <w:t>E：许可范围内的腐蚀品（碱性腐蚀品、酸性腐蚀品及其他腐蚀品包含水处理剂）的销售所涉及场所的相关环境管理活动</w:t>
            </w:r>
          </w:p>
          <w:p>
            <w:pPr>
              <w:spacing w:line="360" w:lineRule="exact"/>
              <w:rPr>
                <w:rFonts w:ascii="宋体" w:hAnsi="宋体"/>
                <w:b/>
                <w:sz w:val="21"/>
                <w:szCs w:val="21"/>
              </w:rPr>
            </w:pPr>
            <w:r>
              <w:rPr>
                <w:sz w:val="20"/>
              </w:rPr>
              <w:t>O：许可范围内的腐蚀品（碱性腐蚀品、酸性腐蚀品及其他腐蚀品包含水处理剂）的销售所涉及场所的相关职业健康安全管理活动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E：29.11.05</w:t>
            </w:r>
          </w:p>
          <w:p>
            <w:pPr>
              <w:spacing w:line="260" w:lineRule="exact"/>
              <w:rPr>
                <w:rFonts w:ascii="宋体" w:hAnsi="宋体"/>
                <w:b/>
                <w:sz w:val="21"/>
                <w:szCs w:val="21"/>
              </w:rPr>
            </w:pPr>
            <w:r>
              <w:rPr>
                <w:rFonts w:ascii="宋体" w:hAnsi="宋体"/>
                <w:b/>
                <w:sz w:val="21"/>
                <w:szCs w:val="21"/>
              </w:rPr>
              <w:t>O：29.11.05</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至</w:t>
            </w:r>
            <w:r>
              <w:rPr>
                <w:rFonts w:ascii="宋体" w:hAnsi="宋体"/>
                <w:b/>
                <w:sz w:val="21"/>
                <w:szCs w:val="21"/>
              </w:rPr>
              <w:t>2023-06-30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2020-6-8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ascii="宋体" w:hAnsi="宋体" w:eastAsia="宋体" w:cs="Times New Roman"/>
                <w:b/>
                <w:kern w:val="2"/>
                <w:sz w:val="21"/>
                <w:szCs w:val="21"/>
                <w:lang w:val="en-US" w:eastAsia="zh-CN" w:bidi="ar-SA"/>
              </w:rPr>
            </w:pPr>
            <w:r>
              <w:rPr>
                <w:rFonts w:hint="eastAsia" w:ascii="楷体" w:hAnsi="楷体" w:eastAsia="楷体"/>
                <w:color w:val="000000"/>
                <w:sz w:val="21"/>
                <w:szCs w:val="21"/>
                <w:lang w:val="en-US" w:eastAsia="zh-CN"/>
              </w:rPr>
              <w:t>2021年度重新识别，但内容与2020年类同。基本充分。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left="0" w:leftChars="0" w:firstLine="0" w:firstLineChars="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w:t>
            </w:r>
            <w:r>
              <w:rPr>
                <w:rFonts w:hint="eastAsia" w:ascii="楷体" w:hAnsi="楷体" w:eastAsia="楷体"/>
                <w:color w:val="000000"/>
                <w:sz w:val="21"/>
                <w:szCs w:val="21"/>
                <w:lang w:val="en-US" w:eastAsia="zh-CN"/>
              </w:rPr>
              <w:t xml:space="preserve"> 识别情况未变化。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ind w:firstLine="422" w:firstLineChars="20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w:t>
            </w:r>
            <w:r>
              <w:rPr>
                <w:rFonts w:hint="eastAsia" w:ascii="楷体" w:hAnsi="楷体" w:eastAsia="楷体"/>
                <w:color w:val="000000"/>
                <w:sz w:val="21"/>
                <w:szCs w:val="21"/>
                <w:lang w:val="en-US" w:eastAsia="zh-CN"/>
              </w:rPr>
              <w:t xml:space="preserve"> 方针未变化，近一年来，公司考虑</w:t>
            </w:r>
            <w:r>
              <w:rPr>
                <w:rFonts w:hint="eastAsia" w:ascii="楷体" w:hAnsi="楷体" w:eastAsia="楷体"/>
                <w:color w:val="000000"/>
                <w:sz w:val="21"/>
                <w:szCs w:val="21"/>
              </w:rPr>
              <w:t>预</w:t>
            </w:r>
            <w:r>
              <w:rPr>
                <w:rFonts w:hint="eastAsia" w:ascii="楷体" w:hAnsi="楷体" w:eastAsia="楷体"/>
                <w:sz w:val="21"/>
                <w:szCs w:val="21"/>
              </w:rPr>
              <w:t>期结果的各种外部和内部因素。</w:t>
            </w:r>
            <w:r>
              <w:rPr>
                <w:rFonts w:hint="eastAsia" w:ascii="楷体" w:hAnsi="楷体" w:eastAsia="楷体"/>
                <w:sz w:val="21"/>
                <w:szCs w:val="21"/>
                <w:lang w:val="en-US" w:eastAsia="zh-CN"/>
              </w:rPr>
              <w:t>持续强化公司方针的宣贯，</w:t>
            </w:r>
            <w:r>
              <w:rPr>
                <w:rFonts w:hint="eastAsia" w:ascii="楷体" w:hAnsi="楷体" w:eastAsia="楷体"/>
                <w:color w:val="000000"/>
                <w:sz w:val="21"/>
                <w:szCs w:val="21"/>
              </w:rPr>
              <w:t>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0"/>
              </w:numPr>
              <w:spacing w:line="280" w:lineRule="exact"/>
              <w:ind w:leftChars="0"/>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、风险识别与控制策划风险识别与控制策划</w:t>
            </w:r>
            <w:r>
              <w:rPr>
                <w:rFonts w:hint="eastAsia" w:ascii="宋体" w:hAnsi="宋体"/>
                <w:b/>
                <w:sz w:val="21"/>
                <w:szCs w:val="21"/>
                <w:lang w:val="en-US" w:eastAsia="zh-CN"/>
              </w:rPr>
              <w:t xml:space="preserve"> </w:t>
            </w:r>
          </w:p>
          <w:p>
            <w:pPr>
              <w:spacing w:line="280" w:lineRule="exact"/>
              <w:rPr>
                <w:rFonts w:ascii="宋体" w:hAnsi="宋体" w:eastAsia="宋体" w:cs="Times New Roman"/>
                <w:b/>
                <w:kern w:val="2"/>
                <w:sz w:val="21"/>
                <w:szCs w:val="21"/>
                <w:lang w:val="en-US" w:eastAsia="zh-CN" w:bidi="ar-SA"/>
              </w:rPr>
            </w:pPr>
            <w:r>
              <w:rPr>
                <w:rFonts w:hint="eastAsia" w:ascii="楷体" w:hAnsi="楷体" w:eastAsia="楷体"/>
                <w:sz w:val="21"/>
                <w:szCs w:val="21"/>
                <w:lang w:val="en-US" w:eastAsia="zh-CN"/>
              </w:rPr>
              <w:t>提供2021年度</w:t>
            </w:r>
            <w:r>
              <w:rPr>
                <w:rFonts w:hint="eastAsia" w:ascii="楷体" w:hAnsi="楷体" w:eastAsia="楷体"/>
                <w:sz w:val="21"/>
                <w:szCs w:val="21"/>
              </w:rPr>
              <w:t>《风险和机遇评估分析表》，风险和机遇及应对的措施策划适当符合要求。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近一年来，环境因素识别结果未变化。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近一年来，危险源识别结果未变化。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w:t>
            </w:r>
            <w:r>
              <w:rPr>
                <w:rFonts w:hint="eastAsia" w:ascii="宋体" w:hAnsi="宋体"/>
                <w:b/>
                <w:szCs w:val="21"/>
                <w:lang w:eastAsia="zh-CN"/>
              </w:rPr>
              <w:t>☑</w:t>
            </w:r>
            <w:r>
              <w:rPr>
                <w:rFonts w:hint="eastAsia" w:ascii="宋体" w:hAnsi="宋体"/>
                <w:b/>
                <w:szCs w:val="21"/>
              </w:rPr>
              <w:t>法律法规获取充分</w:t>
            </w:r>
            <w:r>
              <w:rPr>
                <w:rFonts w:hint="eastAsia" w:ascii="宋体" w:hAnsi="宋体"/>
                <w:b/>
                <w:szCs w:val="21"/>
                <w:lang w:eastAsia="zh-CN"/>
              </w:rPr>
              <w:t>：</w:t>
            </w:r>
            <w:r>
              <w:rPr>
                <w:rFonts w:hint="eastAsia" w:ascii="宋体" w:hAnsi="宋体"/>
                <w:b/>
                <w:szCs w:val="21"/>
                <w:lang w:val="en-US" w:eastAsia="zh-CN"/>
              </w:rPr>
              <w:t>增加《中华人民共和国民法典》</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会议、培训及日常</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val="en-US" w:eastAsia="zh-CN"/>
              </w:rPr>
              <w:t>/</w:t>
            </w:r>
          </w:p>
          <w:p>
            <w:pPr>
              <w:tabs>
                <w:tab w:val="left" w:pos="0"/>
              </w:tabs>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建立的目标未变化，持续有效，可测量。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文件与记录未修改或增加。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中层以上管理人员相对稳定，未变化。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设备设施未大的变化。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公司无仓储销售性质，无测量设备。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业务交流、供方、客户信息等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未有大的改变或改造，销售过程无重大需监测环境因素。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sz w:val="21"/>
                <w:szCs w:val="21"/>
                <w:lang w:val="en-US" w:eastAsia="zh-CN"/>
              </w:rPr>
              <w:t>近一年来劳保用品购置数量增加，主要为防新冠疫情的口罩用品。生产上的劳保用品与往年差不多。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leftChars="0"/>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方针未变化，根据组织宗旨制定了管理体系方针，进行了有效沟通，在管理评审时进行评审，持续符合要求。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rPr>
                <w:rFonts w:ascii="楷体_GB2312" w:eastAsia="楷体_GB2312"/>
                <w:b/>
                <w:color w:val="000000" w:themeColor="text1"/>
                <w:sz w:val="21"/>
                <w:szCs w:val="21"/>
              </w:rPr>
            </w:pPr>
            <w:r>
              <w:rPr>
                <w:rFonts w:hint="eastAsia" w:ascii="宋体" w:hAnsi="宋体"/>
                <w:b/>
                <w:sz w:val="21"/>
                <w:szCs w:val="21"/>
              </w:rPr>
              <w:t>内部沟通的情况：内部沟通方式：</w:t>
            </w:r>
            <w:r>
              <w:rPr>
                <w:rFonts w:hint="eastAsia"/>
                <w:sz w:val="21"/>
                <w:szCs w:val="21"/>
              </w:rPr>
              <w:t>培训、会议；</w:t>
            </w:r>
          </w:p>
          <w:p>
            <w:pPr>
              <w:rPr>
                <w:rFonts w:ascii="宋体" w:hAnsi="宋体"/>
                <w:b/>
                <w:sz w:val="21"/>
                <w:szCs w:val="21"/>
              </w:rPr>
            </w:pPr>
            <w:r>
              <w:rPr>
                <w:rFonts w:hint="eastAsia" w:ascii="楷体_GB2312" w:eastAsia="楷体_GB2312"/>
                <w:b/>
                <w:color w:val="000000" w:themeColor="text1"/>
                <w:sz w:val="21"/>
                <w:szCs w:val="21"/>
              </w:rPr>
              <w:t xml:space="preserve">                </w:t>
            </w:r>
            <w:r>
              <w:rPr>
                <w:rFonts w:hint="eastAsia" w:ascii="宋体" w:hAnsi="宋体"/>
                <w:b/>
                <w:sz w:val="21"/>
                <w:szCs w:val="21"/>
              </w:rPr>
              <w:t>内部沟通的效果：</w:t>
            </w:r>
            <w:r>
              <w:rPr>
                <w:rFonts w:hint="eastAsia"/>
                <w:sz w:val="21"/>
                <w:szCs w:val="21"/>
              </w:rPr>
              <w:t>沟通畅通</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sz w:val="21"/>
                <w:szCs w:val="21"/>
              </w:rPr>
              <w:t>定期组织顾客满意度调查和走访。</w:t>
            </w:r>
          </w:p>
          <w:p>
            <w:pPr>
              <w:spacing w:line="240" w:lineRule="exact"/>
              <w:rPr>
                <w:rFonts w:ascii="宋体" w:hAnsi="宋体"/>
                <w:b/>
                <w:sz w:val="21"/>
                <w:szCs w:val="21"/>
              </w:rPr>
            </w:pPr>
          </w:p>
          <w:p>
            <w:pPr>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sz w:val="21"/>
                <w:szCs w:val="21"/>
              </w:rPr>
              <w:t>参加相关部门组织的会议，接收相关部门下达的通知并在公司内部沟通传达。</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sz w:val="21"/>
                <w:szCs w:val="21"/>
              </w:rPr>
              <w:t>对</w:t>
            </w:r>
            <w:r>
              <w:rPr>
                <w:rFonts w:hint="eastAsia"/>
                <w:sz w:val="21"/>
                <w:szCs w:val="21"/>
                <w:lang w:val="en-US" w:eastAsia="zh-CN"/>
              </w:rPr>
              <w:t>相关</w:t>
            </w:r>
            <w:r>
              <w:rPr>
                <w:rFonts w:hint="eastAsia"/>
                <w:sz w:val="21"/>
                <w:szCs w:val="21"/>
              </w:rPr>
              <w:t>方进行了环保告知。</w:t>
            </w:r>
          </w:p>
          <w:p>
            <w:pPr>
              <w:spacing w:line="240" w:lineRule="exact"/>
              <w:rPr>
                <w:rFonts w:ascii="宋体" w:hAnsi="宋体"/>
                <w:b/>
                <w:sz w:val="21"/>
                <w:szCs w:val="21"/>
              </w:rPr>
            </w:pPr>
          </w:p>
          <w:p>
            <w:pPr>
              <w:spacing w:line="360" w:lineRule="auto"/>
              <w:rPr>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sz w:val="21"/>
                <w:szCs w:val="21"/>
              </w:rPr>
              <w:t>公司经选举确定了员工代表是</w:t>
            </w:r>
            <w:r>
              <w:rPr>
                <w:rFonts w:hint="eastAsia"/>
                <w:sz w:val="21"/>
                <w:szCs w:val="21"/>
                <w:lang w:val="en-US" w:eastAsia="zh-CN"/>
              </w:rPr>
              <w:t>金燕</w:t>
            </w:r>
            <w:r>
              <w:rPr>
                <w:rFonts w:hint="eastAsia"/>
                <w:sz w:val="21"/>
                <w:szCs w:val="21"/>
              </w:rPr>
              <w:t>，</w:t>
            </w:r>
          </w:p>
          <w:p>
            <w:pPr>
              <w:spacing w:line="360" w:lineRule="auto"/>
              <w:rPr>
                <w:rFonts w:ascii="宋体" w:hAnsi="宋体"/>
                <w:b/>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sz w:val="21"/>
                <w:szCs w:val="21"/>
              </w:rPr>
              <w:t>对</w:t>
            </w:r>
            <w:r>
              <w:rPr>
                <w:rFonts w:hint="eastAsia"/>
                <w:sz w:val="21"/>
                <w:szCs w:val="21"/>
                <w:lang w:val="en-US" w:eastAsia="zh-CN"/>
              </w:rPr>
              <w:t>相关</w:t>
            </w:r>
            <w:r>
              <w:rPr>
                <w:rFonts w:hint="eastAsia"/>
                <w:sz w:val="21"/>
                <w:szCs w:val="21"/>
              </w:rPr>
              <w:t>方进行了环保告知。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1、废水管控：生活废水流入市政管网。</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2、废气管控：无废气排放。</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3、噪声管控：日常为办公过程，无噪声影响。</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4、固废管控：生活垃圾由当地环卫所处理，公司缴纳管理费。</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5、能源资源管控：注意节水、节电，人走关闭设备和照明开关，现场未发现有漏水和浪费电能的现象。</w:t>
            </w:r>
          </w:p>
          <w:p>
            <w:pPr>
              <w:spacing w:line="240" w:lineRule="exact"/>
              <w:ind w:firstLine="422" w:firstLineChars="20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6、对相关方进行了环保要求告知。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1、潜在火灾管控：配备灭火器。</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2、安全防护：公司给员工发放手套、口罩、工作服等劳保用品，电线布线合理，漏电保护器状态良好。</w:t>
            </w:r>
          </w:p>
          <w:p>
            <w:pPr>
              <w:spacing w:line="240" w:lineRule="exact"/>
              <w:ind w:firstLine="422" w:firstLineChars="200"/>
              <w:rPr>
                <w:rFonts w:hint="eastAsia" w:ascii="宋体" w:hAnsi="宋体"/>
                <w:b/>
                <w:sz w:val="21"/>
                <w:szCs w:val="21"/>
                <w:lang w:val="en-US" w:eastAsia="zh-CN"/>
              </w:rPr>
            </w:pPr>
            <w:r>
              <w:rPr>
                <w:rFonts w:hint="eastAsia" w:ascii="宋体" w:hAnsi="宋体"/>
                <w:b/>
                <w:sz w:val="21"/>
                <w:szCs w:val="21"/>
                <w:lang w:val="en-US" w:eastAsia="zh-CN"/>
              </w:rPr>
              <w:t>3、为主要长期员工上社保、工伤保险。</w:t>
            </w:r>
          </w:p>
          <w:p>
            <w:pPr>
              <w:spacing w:line="240" w:lineRule="exact"/>
              <w:ind w:firstLine="422" w:firstLineChars="200"/>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4、为环境和职业健康安全管理体系运行提供了财务支持。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制定了火灾、触电、人身伤害等应急预案，举行了年度进行了消防应急演练.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 xml:space="preserve">   危化品销售，无仓储，运输为外包过程；销售办公过程基本不与销售产品本身接触；业务人员现场业务处理，按公司规定执行。对外包方以告知书和协议的内容规定执行。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b/>
                <w:sz w:val="21"/>
                <w:szCs w:val="21"/>
                <w:lang w:val="en-US" w:eastAsia="zh-CN"/>
              </w:rPr>
              <w:t>对各部门目标完成情况进行考核，基本达到目标规定。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依据GB/T24001-2016、GB/T45001-2020标准、体系文件、相关法律法规等.</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 xml:space="preserve">提供2021年度《年度内部审核计划》，内审安排1次。明确审核目的、范围、依据、日期，编制:李海强  审批：李长杰； </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提供EO《内部审核计划》；内部审核计划日程安排：2021.04.28，组长：李海强，组员：金燕，有培训记录和总经理的任命书；</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计划内容涉及各部门，条款覆盖整个体系，时间安排合理。同时考虑到互查的公正性。实际审核：2021.4.30，有签到表，但为打印签到。</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查《内审检查表》，有管理层、办公室、供销部、财务部等部门的审核记录，条款与策划一致，记录真实、完整。包括EO体系所有条款，没有遗漏。</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查《不合格报告》本次发现不符合1个，为一般不符合。</w:t>
            </w:r>
          </w:p>
          <w:p>
            <w:pPr>
              <w:spacing w:line="240" w:lineRule="exact"/>
              <w:ind w:firstLine="105" w:firstLineChars="50"/>
              <w:rPr>
                <w:rFonts w:ascii="宋体" w:hAnsi="宋体"/>
                <w:b/>
                <w:sz w:val="21"/>
                <w:szCs w:val="21"/>
              </w:rPr>
            </w:pPr>
            <w:r>
              <w:rPr>
                <w:rFonts w:hint="eastAsia" w:ascii="宋体" w:hAnsi="宋体"/>
                <w:b/>
                <w:sz w:val="21"/>
                <w:szCs w:val="21"/>
                <w:lang w:val="en-US" w:eastAsia="zh-CN"/>
              </w:rPr>
              <w:t>对于不符合项所采取的纠正等措施，各内审员逐一进行了验证。上述内容记录完整。提供《内部审核报告》，结论： 公司建立的环境/职业健康安全管理体系基本符合GB/T24001-2016、GB/T45001-2020标准要求。管理体系的运行是适宜的、充分的、有效的。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提供：</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1.管理评审计划</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评审时间：计划2021年5月16日进行，初审无间隔要求， 评审方式：会议评审，编制：金燕  批准：李长杰。</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参加人员包括公司总经理、管理者代表、各部门负责人</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计划中明确了评审内容和资料准备要求。</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2.管理评审会议记录</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3.管理评审报告</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管理评审结论：自一体化体系运行以来，公司各部门员工不断增强执行EO标准意识，以EO标准为行动的准则，积极应用PDCA的管理方法，严格管理质量环境安全和各项工作。服务合格率明显提高,未发生重大不合格和安全事故。因此，EO方针在目前是适宜的、充分和有效的。EO基本有效、充分和适宜。</w:t>
            </w:r>
          </w:p>
          <w:p>
            <w:pPr>
              <w:spacing w:line="240" w:lineRule="exact"/>
              <w:ind w:firstLine="105" w:firstLineChars="50"/>
              <w:rPr>
                <w:rFonts w:hint="eastAsia" w:ascii="宋体" w:hAnsi="宋体"/>
                <w:b/>
                <w:sz w:val="21"/>
                <w:szCs w:val="21"/>
                <w:lang w:val="en-US" w:eastAsia="zh-CN"/>
              </w:rPr>
            </w:pPr>
            <w:r>
              <w:rPr>
                <w:rFonts w:hint="eastAsia" w:ascii="宋体" w:hAnsi="宋体"/>
                <w:b/>
                <w:sz w:val="21"/>
                <w:szCs w:val="21"/>
                <w:lang w:val="en-US" w:eastAsia="zh-CN"/>
              </w:rPr>
              <w:t>管理评审改进建议：</w:t>
            </w:r>
          </w:p>
          <w:p>
            <w:pPr>
              <w:spacing w:line="240" w:lineRule="exact"/>
              <w:ind w:firstLine="105" w:firstLineChars="50"/>
              <w:rPr>
                <w:rFonts w:hint="eastAsia" w:ascii="宋体" w:hAnsi="宋体"/>
                <w:b/>
                <w:sz w:val="21"/>
                <w:szCs w:val="21"/>
                <w:lang w:val="en-US" w:eastAsia="zh-CN"/>
              </w:rPr>
            </w:pPr>
            <w:bookmarkStart w:id="24" w:name="OLE_LINK1"/>
            <w:r>
              <w:rPr>
                <w:rFonts w:hint="eastAsia" w:ascii="宋体" w:hAnsi="宋体"/>
                <w:b/>
                <w:sz w:val="21"/>
                <w:szCs w:val="21"/>
                <w:lang w:val="en-US" w:eastAsia="zh-CN"/>
              </w:rPr>
              <w:t>加强人员的安全意识培训。</w:t>
            </w:r>
          </w:p>
          <w:bookmarkEnd w:id="24"/>
          <w:p>
            <w:pPr>
              <w:spacing w:line="240" w:lineRule="exact"/>
              <w:ind w:firstLine="105" w:firstLineChars="50"/>
              <w:rPr>
                <w:rFonts w:ascii="宋体" w:hAnsi="宋体"/>
                <w:b/>
                <w:sz w:val="21"/>
                <w:szCs w:val="21"/>
              </w:rPr>
            </w:pPr>
            <w:r>
              <w:rPr>
                <w:rFonts w:hint="eastAsia" w:ascii="宋体" w:hAnsi="宋体"/>
                <w:b/>
                <w:sz w:val="21"/>
                <w:szCs w:val="21"/>
                <w:lang w:val="en-US" w:eastAsia="zh-CN"/>
              </w:rPr>
              <w:t>组织安全培训。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0" w:leftChars="0" w:firstLine="0" w:firstLineChars="0"/>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销售过程，无法规管控污染物产生；生活费用排入物业管网，垃圾按杭州市垃圾分类管理办法执行。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无测量情况； 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0" w:leftChars="0" w:firstLine="0" w:firstLineChars="0"/>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企业自体系建立以来，通过内审的改进、管理评审；纠正措施的实施、顾客满意度调查等措施，采取了具体的改进措施。基本符合要求。</w:t>
            </w:r>
          </w:p>
          <w:p>
            <w:pPr>
              <w:spacing w:line="240" w:lineRule="exact"/>
              <w:rPr>
                <w:rFonts w:hint="eastAsia" w:ascii="宋体" w:hAnsi="宋体" w:eastAsia="宋体" w:cs="宋体"/>
                <w:b/>
                <w:bCs/>
                <w:sz w:val="21"/>
                <w:szCs w:val="21"/>
              </w:rPr>
            </w:pPr>
            <w:r>
              <w:rPr>
                <w:rFonts w:hint="eastAsia" w:ascii="宋体" w:hAnsi="宋体" w:eastAsia="宋体" w:cs="宋体"/>
                <w:b/>
                <w:bCs/>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spacing w:line="240" w:lineRule="exact"/>
              <w:rPr>
                <w:rFonts w:hint="default" w:ascii="宋体" w:hAnsi="宋体" w:eastAsia="宋体" w:cs="宋体"/>
                <w:b/>
                <w:bCs/>
                <w:kern w:val="2"/>
                <w:sz w:val="21"/>
                <w:szCs w:val="21"/>
                <w:lang w:val="en-US" w:eastAsia="zh-CN" w:bidi="ar-SA"/>
              </w:rPr>
            </w:pPr>
            <w:r>
              <w:rPr>
                <w:rFonts w:hint="eastAsia" w:ascii="宋体" w:hAnsi="宋体" w:cs="宋体"/>
                <w:b/>
                <w:bCs/>
                <w:sz w:val="21"/>
                <w:szCs w:val="21"/>
                <w:lang w:val="en-US" w:eastAsia="zh-CN"/>
              </w:rPr>
              <w:t xml:space="preserve">    初次审核的不符合项（办公场所未配置灭火器等问题）已整改； 本次审核未发现类似问题。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0" w:firstLineChars="0"/>
              <w:rPr>
                <w:rFonts w:hint="default" w:ascii="宋体" w:hAnsi="宋体" w:eastAsia="宋体" w:cs="Times New Roman"/>
                <w:b/>
                <w:kern w:val="2"/>
                <w:sz w:val="21"/>
                <w:szCs w:val="21"/>
                <w:lang w:val="en-US" w:eastAsia="zh-CN" w:bidi="ar-SA"/>
              </w:rPr>
            </w:pPr>
            <w:r>
              <w:rPr>
                <w:rFonts w:hint="eastAsia" w:ascii="宋体" w:hAnsi="宋体"/>
                <w:b/>
                <w:sz w:val="21"/>
                <w:szCs w:val="21"/>
                <w:lang w:val="en-US" w:eastAsia="zh-CN"/>
              </w:rPr>
              <w:t xml:space="preserve">  企业提供的信息未具体展开。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0" w:firstLineChars="0"/>
              <w:rPr>
                <w:rFonts w:hint="eastAsia" w:ascii="宋体" w:hAnsi="宋体" w:eastAsia="宋体" w:cs="Times New Roman"/>
                <w:b/>
                <w:kern w:val="2"/>
                <w:sz w:val="21"/>
                <w:szCs w:val="21"/>
                <w:lang w:val="en-US" w:eastAsia="zh-CN" w:bidi="ar-SA"/>
              </w:rPr>
            </w:pPr>
            <w:r>
              <w:rPr>
                <w:rFonts w:hint="eastAsia" w:ascii="宋体" w:hAnsi="宋体"/>
                <w:b/>
                <w:sz w:val="21"/>
                <w:szCs w:val="21"/>
              </w:rPr>
              <w:t>已整改完毕，符合要求。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62336" behindDoc="1" locked="0" layoutInCell="1" allowOverlap="1">
            <wp:simplePos x="0" y="0"/>
            <wp:positionH relativeFrom="column">
              <wp:posOffset>1741805</wp:posOffset>
            </wp:positionH>
            <wp:positionV relativeFrom="paragraph">
              <wp:posOffset>52705</wp:posOffset>
            </wp:positionV>
            <wp:extent cx="723900" cy="523240"/>
            <wp:effectExtent l="0" t="0" r="0" b="1016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723900" cy="523240"/>
                    </a:xfrm>
                    <a:prstGeom prst="rect">
                      <a:avLst/>
                    </a:prstGeom>
                  </pic:spPr>
                </pic:pic>
              </a:graphicData>
            </a:graphic>
          </wp:anchor>
        </w:drawing>
      </w:r>
      <w:r>
        <w:rPr>
          <w:rFonts w:hint="eastAsia"/>
          <w:b/>
          <w:sz w:val="26"/>
          <w:szCs w:val="26"/>
        </w:rPr>
        <w:t>十二、审核组签字</w:t>
      </w:r>
    </w:p>
    <w:p>
      <w:pPr>
        <w:snapToGrid w:val="0"/>
        <w:spacing w:line="240" w:lineRule="auto"/>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2021-7-15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0</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eastAsia="宋体"/>
          <w:b/>
          <w:sz w:val="21"/>
          <w:lang w:eastAsia="zh-CN"/>
        </w:rPr>
        <w:drawing>
          <wp:anchor distT="0" distB="0" distL="114300" distR="114300" simplePos="0" relativeHeight="251663360" behindDoc="1" locked="0" layoutInCell="1" allowOverlap="1">
            <wp:simplePos x="0" y="0"/>
            <wp:positionH relativeFrom="column">
              <wp:posOffset>1094105</wp:posOffset>
            </wp:positionH>
            <wp:positionV relativeFrom="paragraph">
              <wp:posOffset>243840</wp:posOffset>
            </wp:positionV>
            <wp:extent cx="723900" cy="523240"/>
            <wp:effectExtent l="0" t="0" r="0" b="1016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6"/>
                    <a:stretch>
                      <a:fillRect/>
                    </a:stretch>
                  </pic:blipFill>
                  <pic:spPr>
                    <a:xfrm>
                      <a:off x="0" y="0"/>
                      <a:ext cx="723900" cy="523240"/>
                    </a:xfrm>
                    <a:prstGeom prst="rect">
                      <a:avLst/>
                    </a:prstGeom>
                  </pic:spPr>
                </pic:pic>
              </a:graphicData>
            </a:graphic>
          </wp:anchor>
        </w:drawing>
      </w: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B6AD7"/>
    <w:multiLevelType w:val="singleLevel"/>
    <w:tmpl w:val="E4AB6AD7"/>
    <w:lvl w:ilvl="0" w:tentative="0">
      <w:start w:val="8"/>
      <w:numFmt w:val="decimal"/>
      <w:suff w:val="space"/>
      <w:lvlText w:val="%1."/>
      <w:lvlJc w:val="left"/>
    </w:lvl>
  </w:abstractNum>
  <w:abstractNum w:abstractNumId="1">
    <w:nsid w:val="F023B400"/>
    <w:multiLevelType w:val="singleLevel"/>
    <w:tmpl w:val="F023B400"/>
    <w:lvl w:ilvl="0" w:tentative="0">
      <w:start w:val="3"/>
      <w:numFmt w:val="decimal"/>
      <w:lvlText w:val="%1."/>
      <w:lvlJc w:val="left"/>
      <w:pPr>
        <w:tabs>
          <w:tab w:val="left" w:pos="312"/>
        </w:tabs>
      </w:pPr>
    </w:lvl>
  </w:abstractNum>
  <w:abstractNum w:abstractNumId="2">
    <w:nsid w:val="1C0E6BFF"/>
    <w:multiLevelType w:val="singleLevel"/>
    <w:tmpl w:val="1C0E6BFF"/>
    <w:lvl w:ilvl="0" w:tentative="0">
      <w:start w:val="2"/>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0ADA30F"/>
    <w:multiLevelType w:val="singleLevel"/>
    <w:tmpl w:val="60ADA30F"/>
    <w:lvl w:ilvl="0" w:tentative="0">
      <w:start w:val="2"/>
      <w:numFmt w:val="decimal"/>
      <w:suff w:val="nothing"/>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A570EC"/>
    <w:rsid w:val="1DE0699C"/>
    <w:rsid w:val="328668BA"/>
    <w:rsid w:val="33AE5DAD"/>
    <w:rsid w:val="64420738"/>
    <w:rsid w:val="65611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森林</cp:lastModifiedBy>
  <cp:lastPrinted>2019-04-18T08:15:00Z</cp:lastPrinted>
  <dcterms:modified xsi:type="dcterms:W3CDTF">2021-07-16T13:15:12Z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8D40585C61E64D55A6156B2CCB059D8B</vt:lpwstr>
  </property>
</Properties>
</file>