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  <w:p>
            <w:pPr>
              <w:jc w:val="center"/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安环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谢小康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刘炳俊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林兵</w:t>
            </w:r>
            <w:r>
              <w:rPr>
                <w:rFonts w:hint="eastAsia"/>
                <w:sz w:val="24"/>
                <w:szCs w:val="24"/>
              </w:rPr>
              <w:t>；审核时间：202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.7.27</w:t>
            </w:r>
            <w:r>
              <w:rPr>
                <w:sz w:val="24"/>
                <w:szCs w:val="24"/>
              </w:rPr>
              <w:t>-2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审核条款：5.3组织的岗位、职责和权限、6.2质量目标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Q:7.1.3基础设施、7.1.4过程运行环境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按《岗位说明书》，公司制定岗位职责文件，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安环</w:t>
            </w:r>
            <w:r>
              <w:rPr>
                <w:rFonts w:hint="eastAsia" w:ascii="宋体" w:hAnsi="宋体" w:cs="Arial"/>
                <w:szCs w:val="21"/>
              </w:rPr>
              <w:t>部主要负责公司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安全相关事务管理；生产现场安全生产环境维护、特种设备安全防护等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Arial"/>
                <w:szCs w:val="21"/>
              </w:rPr>
              <w:t>目标有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项，1）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生产现场安全秩序维护达100%；2）特种设备检修率100%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从2</w:t>
            </w:r>
            <w:r>
              <w:rPr>
                <w:rFonts w:ascii="宋体" w:hAnsi="宋体" w:cs="Arial"/>
                <w:szCs w:val="21"/>
              </w:rPr>
              <w:t>021</w:t>
            </w:r>
            <w:r>
              <w:rPr>
                <w:rFonts w:hint="eastAsia" w:ascii="宋体" w:hAnsi="宋体" w:cs="Arial"/>
                <w:szCs w:val="21"/>
              </w:rPr>
              <w:t>年第一季度考核情况来看，均已达到。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基础设施：特种设备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公司供电供热主要设备为燃煤锅炉、压力管道、起重设备、安全阀、叉车、电梯等；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特种设备外部检验一年或两年一次；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查锅炉：内部编号：1#；特种设备使用登记证：锅10浙F00305(18); 2019年2月1日至13日锅炉修理，重大修理监督检验从2019年2月1日至6月29日；检验合格，取得特种设备使用标志；有效检验证书报告编号：DGDW20210019检验日期：2021-3-4；检验结论：符合要求；检验期在规定的时效内；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内部编号2#和3#锅炉，情况同上；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查起重机械，设备/类别：LX5-5.5A3桥式起重机；提供的定期检验报告编号：QDE2019-0268,下次检验日期2021-7月；审核日期为7月27日；未提供最新的检验报告；不符合《特种设备安全监察条例》规定；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查压力管道，提供报告编号：21R0061-DQ01，报告日期为2021年4月25日；在规定的时效内；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叉车，提供检验报告编号：NDE2020-0677,报告日期为2020年9月15日；在规定的时效内；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压力表和安全阀，压力表的检定日期均在6个月有效期内，安全阀的检验日期均在一年内。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过程运行环境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Q7.1.4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公司生产环境按“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S”管理；区域护栏处贴“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S”管理要求，</w:t>
            </w:r>
            <w:r>
              <w:rPr>
                <w:rFonts w:hint="eastAsia"/>
                <w:lang w:val="en-US" w:eastAsia="zh-CN"/>
              </w:rPr>
              <w:t>地面生产作业和通道区域划线明显</w:t>
            </w:r>
            <w:r>
              <w:rPr>
                <w:rFonts w:hint="eastAsia"/>
              </w:rPr>
              <w:t>，消防设施完整，有检查记录。</w:t>
            </w:r>
            <w:r>
              <w:rPr>
                <w:rFonts w:hint="eastAsia"/>
                <w:lang w:val="en-US" w:eastAsia="zh-CN"/>
              </w:rPr>
              <w:t>公司生产现场自动化程度较高，从给煤机进锅炉开始输出电和热能蒸汽，全都密封自动化完成。</w:t>
            </w:r>
          </w:p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生产全年不停运三班倒生产，现有的生产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  <w:lang w:val="en-US" w:eastAsia="zh-CN"/>
              </w:rPr>
              <w:t>满足运营</w:t>
            </w:r>
            <w:r>
              <w:rPr>
                <w:rFonts w:hint="eastAsia"/>
              </w:rPr>
              <w:t>要求。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0A7D3"/>
    <w:multiLevelType w:val="singleLevel"/>
    <w:tmpl w:val="F380A7D3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D13E01"/>
    <w:rsid w:val="34D85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</TotalTime>
  <ScaleCrop>false</ScaleCrop>
  <LinksUpToDate>false</LinksUpToDate>
  <CharactersWithSpaces>101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2021-07-27T06:34:15Z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C14CC174B4944EAAA35BAC3AD37E470D</vt:lpwstr>
  </property>
</Properties>
</file>