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066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054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采购部    主管领导：聂思诚     陪同人员：代小玲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54" w:type="dxa"/>
            <w:vMerge w:val="continue"/>
            <w:vAlign w:val="center"/>
          </w:tcPr>
          <w:p/>
        </w:tc>
        <w:tc>
          <w:tcPr>
            <w:tcW w:w="1066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2021.7.25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54" w:type="dxa"/>
            <w:vMerge w:val="continue"/>
            <w:vAlign w:val="center"/>
          </w:tcPr>
          <w:p/>
        </w:tc>
        <w:tc>
          <w:tcPr>
            <w:tcW w:w="1066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EMS/ OHSMS: 5.3组织的岗位、职责和权限、6.2环境/职业健康安全目标、6.1.2环境因素/危险源辨识与评价、6.1.4措施的策划、8.1运行策划和控制、8.2应急准备和响应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54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1066" w:type="dxa"/>
          </w:tcPr>
          <w:p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本部门现有人员1人；</w:t>
            </w:r>
          </w:p>
          <w:p>
            <w:pPr>
              <w:spacing w:line="360" w:lineRule="auto"/>
              <w:ind w:firstLine="42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主要负责：采购控制、供应商管控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与相关方做好沟通等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本部门的环境因素、危险源的识别、评价及控制。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054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及措施</w:t>
            </w:r>
          </w:p>
        </w:tc>
        <w:tc>
          <w:tcPr>
            <w:tcW w:w="1066" w:type="dxa"/>
          </w:tcPr>
          <w:p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保留“目标分解考核表”，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显示对目标按照部门进行了分解，策划了实现目标的措施；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查见采购部目标分解及完成情况：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a.供方评定合格率100% 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b.采购产品交货及时率≥90%；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c.固体废弃物分类处置率100%；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d.火灾事故为0；</w:t>
            </w:r>
          </w:p>
          <w:p>
            <w:pPr>
              <w:spacing w:line="360" w:lineRule="auto"/>
              <w:ind w:firstLine="396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考核结果显示2021年1-6月，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所有目标均已完成。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054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环境因素/危险源辨识评价和控制</w:t>
            </w:r>
          </w:p>
        </w:tc>
        <w:tc>
          <w:tcPr>
            <w:tcW w:w="1066" w:type="dxa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查“环境因素辨识和评价表”，识别了在办公过程的环境因素，包括日光灯更换、电脑使用、办公纸张、消防、能源消耗、水电消耗等20项环境因素，识别时能考虑产品生命周期观点。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查公司《重要环境因素清单》，办公活动主要是固废、潜在火灾；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查“危险源识别及风险评价表”，识别了办公活动中的触电、中毒、火灾、中暑、车辆伤害等危险源；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查公司《不可接受风险清单》，经评价，办公活动不可接受风险主要是潜在触电、火灾事故；</w:t>
            </w:r>
          </w:p>
          <w:p>
            <w:pPr>
              <w:pStyle w:val="2"/>
              <w:spacing w:line="360" w:lineRule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识别和评价基本充分，符合规定要求。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保留有“环境目标、指标/职业健康安全目标与管理方案及实施情况一览表”，对重要环境因素和不可接受风险策划了控制措施。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</w:tcPr>
          <w:p>
            <w:pPr>
              <w:pStyle w:val="2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1066" w:type="dxa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现场观察，办公面积约600余平方米，分区设置，配置的办公桌符合人机工程要求，干净整洁，照明、通风良好；配置有空调，温度适宜；有少量绿植；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查见配置有灭火器，状态良好；监控摄像头运行正常；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生活废水经市政管网排放；无工业废水；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办公用固废集中回收，市政环卫部门收集处理；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办公用墨盒硒鼓等危废以旧换新。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不定期对员工进行交通安全宣传。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保持“相关方告知书”，对相关方就环保和职业健康安全方面施加影响。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1066" w:type="dxa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EO：8.2</w:t>
            </w:r>
          </w:p>
        </w:tc>
        <w:tc>
          <w:tcPr>
            <w:tcW w:w="10004" w:type="dxa"/>
          </w:tcPr>
          <w:p>
            <w:pPr>
              <w:pStyle w:val="2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参加生产部组织的</w:t>
            </w:r>
            <w:r>
              <w:rPr>
                <w:rFonts w:hint="eastAsia" w:cs="Times New Roman"/>
                <w:szCs w:val="22"/>
                <w:lang w:val="en-US" w:eastAsia="zh-CN"/>
              </w:rPr>
              <w:t>应急演练，详见生产部审核记录。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外部提供过程、产品和服务的控制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8.4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编制并执行了《采购控制程序》，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无变化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《合格供方名录》，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抽见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主要供方如下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江西金阳钢艺有限公司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钢板、冷卷成品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江西锐克斯科技有限公司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材料表面处理(塑粉)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江西航睿科技有限公司</w:t>
            </w:r>
            <w:r>
              <w:rPr>
                <w:rFonts w:hint="default"/>
                <w:color w:val="auto"/>
                <w:lang w:val="en-US" w:eastAsia="zh-CN"/>
              </w:rPr>
              <w:tab/>
            </w:r>
            <w:r>
              <w:rPr>
                <w:rFonts w:hint="default"/>
                <w:color w:val="auto"/>
                <w:lang w:val="en-US" w:eastAsia="zh-CN"/>
              </w:rPr>
              <w:t>智能型密集架控制管理系统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江西日鸿环保科技有限公司</w:t>
            </w:r>
            <w:r>
              <w:rPr>
                <w:rFonts w:hint="default"/>
                <w:color w:val="auto"/>
                <w:lang w:val="en-US" w:eastAsia="zh-CN"/>
              </w:rPr>
              <w:tab/>
            </w:r>
            <w:r>
              <w:rPr>
                <w:rFonts w:hint="default"/>
                <w:color w:val="auto"/>
                <w:lang w:val="en-US" w:eastAsia="zh-CN"/>
              </w:rPr>
              <w:t>脱脂助剂、脱脂剂、硅烷剂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江西远洋设备实业有限公司</w:t>
            </w:r>
            <w:r>
              <w:rPr>
                <w:rFonts w:hint="default"/>
                <w:color w:val="auto"/>
                <w:lang w:val="en-US" w:eastAsia="zh-CN"/>
              </w:rPr>
              <w:tab/>
            </w:r>
            <w:r>
              <w:rPr>
                <w:rFonts w:hint="default"/>
                <w:color w:val="auto"/>
                <w:lang w:val="en-US" w:eastAsia="zh-CN"/>
              </w:rPr>
              <w:t>教学仪器设备</w:t>
            </w:r>
            <w:r>
              <w:rPr>
                <w:rFonts w:hint="eastAsia"/>
                <w:color w:val="auto"/>
                <w:lang w:val="en-US" w:eastAsia="zh-CN"/>
              </w:rPr>
              <w:t>、环保设备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供方调查评定记录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；抽见上述供应商评价表，显示供方对产品/服务质量的承诺：客户至上，诚信共赢；对工商注册文件及相关资质证明、售后服务、价格比、交货期、产品质量、其他等进行了评价；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参加评审人员签名，评审结论：继续列入合格供方名录。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查采购合同、订单等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，抽见：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1、产品购销合同——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江西金阳钢艺有限公司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钢板、冷卷成品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；2020.12.3；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2、产品购销合同——江西航睿科技有限公司，固定列12寸标配2位、移动列8寸标配2位，2021.4.3；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3、采购合同——</w:t>
            </w:r>
            <w:r>
              <w:rPr>
                <w:rFonts w:hint="default"/>
                <w:color w:val="auto"/>
                <w:lang w:val="en-US" w:eastAsia="zh-CN"/>
              </w:rPr>
              <w:t>江西远洋设备实业有限公司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default"/>
                <w:color w:val="auto"/>
                <w:lang w:val="en-US" w:eastAsia="zh-CN"/>
              </w:rPr>
              <w:t>教学仪器设备</w:t>
            </w:r>
            <w:r>
              <w:rPr>
                <w:rFonts w:hint="eastAsia"/>
                <w:color w:val="auto"/>
                <w:lang w:val="en-US" w:eastAsia="zh-CN"/>
              </w:rPr>
              <w:t>，2021.4.29；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4、供货协议——江西日鸿环保科技有限公司，无磷脱脂剂、新一代硅烷处理剂；2021.3.5；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5、送货单——江西锐克斯科技有限公司，静电塑粉，2021.7.18；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6、采购合同——</w:t>
            </w:r>
            <w:r>
              <w:rPr>
                <w:rFonts w:hint="default"/>
                <w:color w:val="auto"/>
                <w:lang w:val="en-US" w:eastAsia="zh-CN"/>
              </w:rPr>
              <w:t>江西远洋设备实业有限公司</w:t>
            </w:r>
            <w:r>
              <w:rPr>
                <w:rFonts w:hint="eastAsia"/>
                <w:color w:val="auto"/>
                <w:lang w:val="en-US" w:eastAsia="zh-CN"/>
              </w:rPr>
              <w:t>，环卫垃圾桶、分类果壳箱，2021.5.20；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以上合同或送货单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明确了产品名称、数量、规格型号、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质量、交货等信息；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评审后签字盖章，未保留评审记录，交流。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外部供方的管理基本满足要求。</w:t>
            </w:r>
            <w:bookmarkStart w:id="0" w:name="_GoBack"/>
            <w:bookmarkEnd w:id="0"/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FF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96E97"/>
    <w:rsid w:val="17C35217"/>
    <w:rsid w:val="2C25131F"/>
    <w:rsid w:val="2C667ACC"/>
    <w:rsid w:val="341A1AA6"/>
    <w:rsid w:val="35BD5109"/>
    <w:rsid w:val="3B7615F7"/>
    <w:rsid w:val="3E433043"/>
    <w:rsid w:val="51E36F39"/>
    <w:rsid w:val="59A34D70"/>
    <w:rsid w:val="6A4231BF"/>
    <w:rsid w:val="719E6B04"/>
    <w:rsid w:val="736D2A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2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2021-07-26T05:00:15Z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