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四川省宏利玻璃制品有限公司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车碧波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查见适用的法律法规和其它要求清单中未识别《中华人民共和国民法典》。不符合标准 GB/T 24001-2016 idt ISO 14001:2015的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6.1.3条款，组织应保持其合规化义务的文件化信息。</w:t>
            </w:r>
          </w:p>
          <w:p>
            <w:pPr>
              <w:pStyle w:val="2"/>
              <w:ind w:firstLine="422" w:firstLineChars="200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881BA3"/>
    <w:rsid w:val="0E8D3CCE"/>
    <w:rsid w:val="0F6209DD"/>
    <w:rsid w:val="138E2D9A"/>
    <w:rsid w:val="2BC627E3"/>
    <w:rsid w:val="30B505D7"/>
    <w:rsid w:val="36E062A0"/>
    <w:rsid w:val="3BC41548"/>
    <w:rsid w:val="4BDB5AD3"/>
    <w:rsid w:val="55C94AFA"/>
    <w:rsid w:val="602752C7"/>
    <w:rsid w:val="71FE55ED"/>
    <w:rsid w:val="7EDC51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2021-07-16T02:33:01Z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06F81F436D0549DE88309746832F59FF</vt:lpwstr>
  </property>
</Properties>
</file>