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32"/>
        <w:gridCol w:w="1198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四川省宏利玻璃制品有限公司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Q：15.01.05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E：15.01.05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冯世琴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Q：15.01.05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E：15.01.05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19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罗田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19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切片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——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磨边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——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钻孔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——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钢化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——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丝印——包装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需确认/特殊过程：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钢化、丝印过程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控制措施：作业指导书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重要环境因素有：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潜在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火灾、固废排放、废气排放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噪声排放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有机废气排放、废水排放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 xml:space="preserve">中华人民共和国环境保护法 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中华人民共和国水污染防治法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中华人民共和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国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环境噪声污染防治法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中华人民共和国安全生产法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半钢化玻璃标准GB/T17841-2008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钢化玻璃标准GB/T15763.2-2005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平板玻璃标准GB11614-2009和客户技术要求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无型式试验要求，对产品尺寸、性能进行检验。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        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bookmarkStart w:id="6" w:name="_GoBack"/>
      <w:bookmarkEnd w:id="6"/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3D57A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2021-07-16T01:56:17Z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B6342FAA5BF3460B9BAE0BB9FF47E68C</vt:lpwstr>
  </property>
</Properties>
</file>