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AnsiTheme="minorEastAsia" w:eastAsiaTheme="minorEastAsia"/>
                <w:sz w:val="24"/>
                <w:szCs w:val="24"/>
              </w:rPr>
              <w:t>受审核部门：行政部</w:t>
            </w:r>
            <w:r>
              <w:rPr>
                <w:rFonts w:eastAsiaTheme="minorEastAsia"/>
                <w:sz w:val="24"/>
                <w:szCs w:val="24"/>
              </w:rPr>
              <w:t xml:space="preserve"> </w:t>
            </w:r>
            <w:r>
              <w:rPr>
                <w:rFonts w:hint="eastAsia" w:eastAsiaTheme="minorEastAsia"/>
                <w:sz w:val="24"/>
                <w:szCs w:val="24"/>
              </w:rPr>
              <w:t xml:space="preserve"> </w:t>
            </w:r>
            <w:r>
              <w:rPr>
                <w:rFonts w:eastAsiaTheme="minorEastAsia"/>
                <w:sz w:val="24"/>
                <w:szCs w:val="24"/>
              </w:rPr>
              <w:t xml:space="preserve"> </w:t>
            </w:r>
            <w:r>
              <w:rPr>
                <w:rFonts w:hint="eastAsia" w:eastAsiaTheme="minorEastAsia"/>
                <w:sz w:val="24"/>
                <w:szCs w:val="24"/>
                <w:lang w:val="en-US" w:eastAsia="zh-CN"/>
              </w:rPr>
              <w:t xml:space="preserve">      </w:t>
            </w:r>
            <w:r>
              <w:rPr>
                <w:rFonts w:hAnsiTheme="minorEastAsia" w:eastAsiaTheme="minorEastAsia"/>
                <w:sz w:val="24"/>
                <w:szCs w:val="24"/>
              </w:rPr>
              <w:t>主管领导：</w:t>
            </w:r>
            <w:r>
              <w:rPr>
                <w:rFonts w:hint="eastAsia" w:hAnsiTheme="minorEastAsia" w:eastAsiaTheme="minorEastAsia"/>
                <w:sz w:val="24"/>
                <w:szCs w:val="24"/>
              </w:rPr>
              <w:t>高雅梅</w:t>
            </w:r>
            <w:r>
              <w:rPr>
                <w:rFonts w:eastAsiaTheme="minorEastAsia"/>
                <w:szCs w:val="22"/>
              </w:rPr>
              <w:t xml:space="preserve">  </w:t>
            </w:r>
            <w:r>
              <w:rPr>
                <w:rFonts w:hint="eastAsia" w:eastAsiaTheme="minorEastAsia"/>
                <w:szCs w:val="22"/>
                <w:lang w:val="en-US" w:eastAsia="zh-CN"/>
              </w:rPr>
              <w:t xml:space="preserve">      </w:t>
            </w:r>
            <w:r>
              <w:rPr>
                <w:rFonts w:hAnsiTheme="minorEastAsia" w:eastAsiaTheme="minorEastAsia"/>
                <w:sz w:val="24"/>
                <w:szCs w:val="24"/>
              </w:rPr>
              <w:t>陪同人员：肖晓愈</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褚敏杰 陈锐</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2021.7.13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rPr>
                <w:sz w:val="24"/>
                <w:szCs w:val="24"/>
              </w:rPr>
            </w:pPr>
            <w:r>
              <w:rPr>
                <w:rFonts w:ascii="宋体" w:hAnsi="宋体" w:cs="Arial"/>
                <w:sz w:val="21"/>
                <w:szCs w:val="21"/>
              </w:rPr>
              <w:t>QMS:</w:t>
            </w:r>
            <w:r>
              <w:rPr>
                <w:rFonts w:hint="eastAsia" w:ascii="宋体" w:hAnsi="宋体" w:cs="Arial"/>
                <w:sz w:val="21"/>
                <w:szCs w:val="21"/>
              </w:rPr>
              <w:t>5.3组织的岗位、职责和权限、6.2</w:t>
            </w:r>
            <w:r>
              <w:rPr>
                <w:rFonts w:hint="eastAsia" w:ascii="宋体" w:hAnsi="宋体" w:cs="Arial"/>
                <w:spacing w:val="-6"/>
                <w:sz w:val="21"/>
                <w:szCs w:val="21"/>
              </w:rPr>
              <w:t>质量</w:t>
            </w:r>
            <w:r>
              <w:rPr>
                <w:rFonts w:hint="eastAsia" w:ascii="宋体" w:hAnsi="宋体" w:cs="Arial"/>
                <w:sz w:val="21"/>
                <w:szCs w:val="21"/>
              </w:rPr>
              <w:t>目标、</w:t>
            </w:r>
            <w:r>
              <w:rPr>
                <w:rFonts w:hint="eastAsia" w:ascii="宋体" w:hAnsi="宋体" w:cs="Arial"/>
                <w:sz w:val="21"/>
                <w:szCs w:val="21"/>
                <w:lang w:val="en-US" w:eastAsia="zh-CN"/>
              </w:rPr>
              <w:t>7.1.2人员、7.2能力、</w:t>
            </w:r>
            <w:r>
              <w:rPr>
                <w:rFonts w:hint="eastAsia" w:ascii="宋体" w:hAnsi="宋体" w:cs="Arial"/>
                <w:spacing w:val="-6"/>
                <w:sz w:val="21"/>
                <w:szCs w:val="21"/>
                <w:lang w:val="en-US" w:eastAsia="zh-CN"/>
              </w:rPr>
              <w:t>7.1.6组织知识、</w:t>
            </w:r>
            <w:r>
              <w:rPr>
                <w:rFonts w:hint="eastAsia" w:ascii="宋体" w:hAnsi="宋体" w:cs="Arial"/>
                <w:spacing w:val="-6"/>
                <w:sz w:val="21"/>
                <w:szCs w:val="21"/>
              </w:rPr>
              <w:t>9.1.1监视、测量、分析和评价总则</w:t>
            </w:r>
            <w:r>
              <w:rPr>
                <w:rFonts w:hint="eastAsia" w:ascii="宋体" w:hAnsi="宋体" w:cs="Arial"/>
                <w:sz w:val="21"/>
                <w:szCs w:val="21"/>
              </w:rPr>
              <w:t>、9.1.3分析与评价、9.2 内部审核、10.2不合格和纠正措施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center"/>
          </w:tcPr>
          <w:p>
            <w:pPr>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组织的岗位、职责和权限</w:t>
            </w:r>
          </w:p>
        </w:tc>
        <w:tc>
          <w:tcPr>
            <w:tcW w:w="960" w:type="dxa"/>
            <w:vAlign w:val="center"/>
          </w:tcPr>
          <w:p>
            <w:pPr>
              <w:jc w:val="both"/>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Q5.3</w:t>
            </w:r>
          </w:p>
        </w:tc>
        <w:tc>
          <w:tcPr>
            <w:tcW w:w="10004" w:type="dxa"/>
            <w:vAlign w:val="top"/>
          </w:tcPr>
          <w:p>
            <w:pPr>
              <w:spacing w:line="360" w:lineRule="auto"/>
              <w:ind w:firstLine="396" w:firstLineChars="200"/>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行政部现有3人，部长1人，管理人员2人；</w:t>
            </w:r>
          </w:p>
          <w:p>
            <w:pPr>
              <w:spacing w:line="360" w:lineRule="auto"/>
              <w:ind w:firstLine="396" w:firstLineChars="20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主要负责：</w:t>
            </w:r>
          </w:p>
          <w:p>
            <w:pPr>
              <w:spacing w:line="360" w:lineRule="auto"/>
              <w:ind w:firstLine="396" w:firstLineChars="20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质量目标方案、人力资源配备、企业知识的识别更新传递、文件记录的管理控制；</w:t>
            </w:r>
          </w:p>
          <w:p>
            <w:pPr>
              <w:spacing w:line="360" w:lineRule="auto"/>
              <w:ind w:firstLine="396" w:firstLineChars="20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体系运行检查、内审、不符合纠正与预防等。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60" w:type="dxa"/>
            <w:vAlign w:val="center"/>
          </w:tcPr>
          <w:p>
            <w:pPr>
              <w:spacing w:line="360" w:lineRule="auto"/>
              <w:rPr>
                <w:rFonts w:ascii="Times New Roman" w:hAnsi="Times New Roman" w:cs="Times New Roman" w:eastAsiaTheme="minorEastAsia"/>
                <w:kern w:val="2"/>
                <w:sz w:val="24"/>
                <w:szCs w:val="24"/>
                <w:lang w:val="en-US" w:eastAsia="zh-CN" w:bidi="ar-SA"/>
              </w:rPr>
            </w:pPr>
            <w:r>
              <w:rPr>
                <w:rFonts w:hAnsiTheme="minorEastAsia" w:eastAsiaTheme="minorEastAsia"/>
                <w:sz w:val="24"/>
                <w:szCs w:val="24"/>
              </w:rPr>
              <w:t>目标和方案</w:t>
            </w:r>
          </w:p>
        </w:tc>
        <w:tc>
          <w:tcPr>
            <w:tcW w:w="960" w:type="dxa"/>
            <w:vAlign w:val="center"/>
          </w:tcPr>
          <w:p>
            <w:pPr>
              <w:spacing w:line="360" w:lineRule="auto"/>
              <w:rPr>
                <w:rFonts w:ascii="Times New Roman" w:hAnsi="Times New Roman" w:cs="Times New Roman" w:eastAsiaTheme="minorEastAsia"/>
                <w:kern w:val="2"/>
                <w:sz w:val="24"/>
                <w:szCs w:val="24"/>
                <w:lang w:val="en-US" w:eastAsia="zh-CN" w:bidi="ar-SA"/>
              </w:rPr>
            </w:pPr>
            <w:r>
              <w:rPr>
                <w:rFonts w:hint="eastAsia" w:ascii="宋体" w:hAnsi="宋体" w:eastAsia="宋体" w:cs="Arial"/>
                <w:spacing w:val="-6"/>
                <w:sz w:val="21"/>
                <w:szCs w:val="21"/>
              </w:rPr>
              <w:t>Q6.2</w:t>
            </w:r>
          </w:p>
        </w:tc>
        <w:tc>
          <w:tcPr>
            <w:tcW w:w="10004" w:type="dxa"/>
          </w:tcPr>
          <w:p>
            <w:pPr>
              <w:spacing w:line="360" w:lineRule="auto"/>
              <w:ind w:firstLine="396" w:firstLineChars="20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查见“公司目标实施措施表”，见对目标进行了分解，并策划了实施措施，行政部目标为：</w:t>
            </w:r>
          </w:p>
          <w:p>
            <w:pPr>
              <w:spacing w:line="360" w:lineRule="auto"/>
              <w:ind w:firstLine="396" w:firstLineChars="200"/>
              <w:rPr>
                <w:rFonts w:hint="default" w:ascii="宋体" w:hAnsi="宋体" w:eastAsia="宋体" w:cs="Arial"/>
                <w:spacing w:val="-6"/>
                <w:sz w:val="21"/>
                <w:szCs w:val="21"/>
                <w:lang w:val="en-US" w:eastAsia="zh-CN"/>
              </w:rPr>
            </w:pPr>
            <w:r>
              <w:rPr>
                <w:rFonts w:hint="default" w:ascii="宋体" w:hAnsi="宋体" w:eastAsia="宋体" w:cs="Arial"/>
                <w:spacing w:val="-6"/>
                <w:sz w:val="21"/>
                <w:szCs w:val="21"/>
                <w:lang w:val="en-US" w:eastAsia="zh-CN"/>
              </w:rPr>
              <w:t>培训合格率</w:t>
            </w:r>
            <w:r>
              <w:rPr>
                <w:rFonts w:hint="default" w:ascii="宋体" w:hAnsi="宋体" w:eastAsia="宋体" w:cs="Arial"/>
                <w:spacing w:val="-6"/>
                <w:sz w:val="21"/>
                <w:szCs w:val="21"/>
                <w:lang w:val="en-US" w:eastAsia="zh-CN"/>
              </w:rPr>
              <w:tab/>
            </w:r>
            <w:r>
              <w:rPr>
                <w:rFonts w:hint="default" w:ascii="宋体" w:hAnsi="宋体" w:eastAsia="宋体" w:cs="Arial"/>
                <w:spacing w:val="-6"/>
                <w:sz w:val="21"/>
                <w:szCs w:val="21"/>
                <w:lang w:val="en-US" w:eastAsia="zh-CN"/>
              </w:rPr>
              <w:t>≥90%</w:t>
            </w:r>
          </w:p>
          <w:p>
            <w:pPr>
              <w:spacing w:line="360" w:lineRule="auto"/>
              <w:ind w:firstLine="396" w:firstLineChars="200"/>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查见“目标考核表”，见按季度进行了考核，2021年1、2季度目标均已完成。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cs="Arial"/>
                <w:sz w:val="21"/>
                <w:szCs w:val="21"/>
                <w:lang w:val="en-US" w:eastAsia="zh-CN"/>
              </w:rPr>
            </w:pPr>
            <w:r>
              <w:rPr>
                <w:rFonts w:hint="eastAsia" w:ascii="宋体" w:hAnsi="宋体" w:cs="Arial"/>
                <w:sz w:val="21"/>
                <w:szCs w:val="21"/>
                <w:lang w:val="en-US" w:eastAsia="zh-CN"/>
              </w:rPr>
              <w:t>人员</w:t>
            </w:r>
          </w:p>
          <w:p>
            <w:r>
              <w:rPr>
                <w:rFonts w:hint="eastAsia" w:ascii="宋体" w:hAnsi="宋体" w:cs="Arial"/>
                <w:sz w:val="21"/>
                <w:szCs w:val="21"/>
                <w:lang w:val="en-US" w:eastAsia="zh-CN"/>
              </w:rPr>
              <w:t>能力</w:t>
            </w:r>
          </w:p>
        </w:tc>
        <w:tc>
          <w:tcPr>
            <w:tcW w:w="960" w:type="dxa"/>
          </w:tcPr>
          <w:p>
            <w:pPr>
              <w:rPr>
                <w:rFonts w:hint="eastAsia" w:ascii="宋体" w:hAnsi="宋体" w:cs="Arial"/>
                <w:sz w:val="21"/>
                <w:szCs w:val="21"/>
                <w:lang w:val="en-US" w:eastAsia="zh-CN"/>
              </w:rPr>
            </w:pPr>
            <w:r>
              <w:rPr>
                <w:rFonts w:hint="eastAsia" w:ascii="宋体" w:hAnsi="宋体" w:cs="Arial"/>
                <w:sz w:val="21"/>
                <w:szCs w:val="21"/>
                <w:lang w:val="en-US" w:eastAsia="zh-CN"/>
              </w:rPr>
              <w:t>Q:7.1.2</w:t>
            </w:r>
          </w:p>
          <w:p>
            <w:pPr>
              <w:rPr>
                <w:rFonts w:hint="eastAsia" w:ascii="宋体" w:hAnsi="宋体" w:cs="Arial"/>
                <w:sz w:val="21"/>
                <w:szCs w:val="21"/>
                <w:lang w:val="en-US" w:eastAsia="zh-CN"/>
              </w:rPr>
            </w:pPr>
            <w:r>
              <w:rPr>
                <w:rFonts w:hint="eastAsia" w:ascii="宋体" w:hAnsi="宋体" w:cs="Arial"/>
                <w:sz w:val="21"/>
                <w:szCs w:val="21"/>
                <w:lang w:val="en-US" w:eastAsia="zh-CN"/>
              </w:rPr>
              <w:t>7.2</w:t>
            </w:r>
          </w:p>
        </w:tc>
        <w:tc>
          <w:tcPr>
            <w:tcW w:w="10004" w:type="dxa"/>
          </w:tcPr>
          <w:p>
            <w:pPr>
              <w:spacing w:line="360" w:lineRule="auto"/>
              <w:ind w:firstLine="396" w:firstLineChars="200"/>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查见员工花名册，公司员工现有40余人；</w:t>
            </w:r>
          </w:p>
          <w:p>
            <w:pPr>
              <w:spacing w:line="360" w:lineRule="auto"/>
              <w:ind w:firstLine="396" w:firstLineChars="20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查见“岗位说明书”，对各岗位职责和岗位任职要求进行了规定；保留了必要的成文信息；</w:t>
            </w:r>
          </w:p>
          <w:p>
            <w:pPr>
              <w:spacing w:line="360" w:lineRule="auto"/>
              <w:ind w:firstLine="396" w:firstLineChars="20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抽见：</w:t>
            </w:r>
          </w:p>
          <w:p>
            <w:pPr>
              <w:spacing w:line="360" w:lineRule="auto"/>
              <w:ind w:firstLine="396" w:firstLineChars="20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特种设备作业人员证：何X——N1叉车司机，2024.8，宜春市市场监督管理局发，有效；</w:t>
            </w:r>
          </w:p>
          <w:p>
            <w:pPr>
              <w:spacing w:line="360" w:lineRule="auto"/>
              <w:ind w:firstLine="396" w:firstLineChars="20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特种设备作业人员证：朱XX——T3电梯司机，2022.8.27，南昌市市场和质量监督管理局发，有效；</w:t>
            </w:r>
          </w:p>
          <w:p>
            <w:pPr>
              <w:spacing w:line="360" w:lineRule="auto"/>
              <w:ind w:firstLine="396" w:firstLineChars="20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特种设备安全管理人员证：</w:t>
            </w:r>
          </w:p>
          <w:p>
            <w:pPr>
              <w:spacing w:line="360" w:lineRule="auto"/>
              <w:ind w:firstLine="396" w:firstLineChars="20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朱XX——A4电梯安全管理，2022.10.22，南昌市市场和质量监督管理局发，有效；</w:t>
            </w:r>
          </w:p>
          <w:p>
            <w:pPr>
              <w:spacing w:line="360" w:lineRule="auto"/>
              <w:ind w:firstLine="1188" w:firstLineChars="600"/>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A8场内专用机动车辆安全管理，2022.2.1南昌市市场和质量监督管理局发，有效；</w:t>
            </w:r>
          </w:p>
          <w:p>
            <w:pPr>
              <w:spacing w:line="360" w:lineRule="auto"/>
              <w:ind w:firstLine="372"/>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查见“2020—2021年度职工培训计划”，见列有管理体系内审员培训、安全生产知识培训、岗位技能培训、公司管理制度培训等7项；</w:t>
            </w:r>
          </w:p>
          <w:p>
            <w:pPr>
              <w:spacing w:line="360" w:lineRule="auto"/>
              <w:ind w:firstLine="372"/>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抽见“员工培训记录”：</w:t>
            </w:r>
          </w:p>
          <w:p>
            <w:pPr>
              <w:spacing w:line="360" w:lineRule="auto"/>
              <w:ind w:firstLine="372"/>
              <w:rPr>
                <w:rFonts w:hint="eastAsia" w:ascii="宋体" w:hAnsi="宋体" w:eastAsia="宋体" w:cs="Arial"/>
                <w:spacing w:val="-6"/>
                <w:sz w:val="21"/>
                <w:szCs w:val="21"/>
                <w:lang w:val="en-US" w:eastAsia="zh-CN"/>
              </w:rPr>
            </w:pPr>
            <w:r>
              <w:rPr>
                <w:rFonts w:hint="default" w:ascii="宋体" w:hAnsi="宋体" w:eastAsia="宋体" w:cs="Arial"/>
                <w:spacing w:val="-6"/>
                <w:sz w:val="21"/>
                <w:szCs w:val="21"/>
                <w:lang w:val="en-US" w:eastAsia="zh-CN"/>
              </w:rPr>
              <w:t>管理体系内审员培训</w:t>
            </w:r>
            <w:r>
              <w:rPr>
                <w:rFonts w:hint="eastAsia" w:ascii="宋体" w:hAnsi="宋体" w:eastAsia="宋体" w:cs="Arial"/>
                <w:spacing w:val="-6"/>
                <w:sz w:val="21"/>
                <w:szCs w:val="21"/>
                <w:lang w:val="en-US" w:eastAsia="zh-CN"/>
              </w:rPr>
              <w:t>——</w:t>
            </w:r>
            <w:r>
              <w:rPr>
                <w:rFonts w:hint="default" w:ascii="宋体" w:hAnsi="宋体" w:eastAsia="宋体" w:cs="Arial"/>
                <w:spacing w:val="-6"/>
                <w:sz w:val="21"/>
                <w:szCs w:val="21"/>
                <w:lang w:val="en-US" w:eastAsia="zh-CN"/>
              </w:rPr>
              <w:t>2020.12.21</w:t>
            </w:r>
            <w:r>
              <w:rPr>
                <w:rFonts w:hint="eastAsia" w:ascii="宋体" w:hAnsi="宋体" w:eastAsia="宋体" w:cs="Arial"/>
                <w:spacing w:val="-6"/>
                <w:sz w:val="21"/>
                <w:szCs w:val="21"/>
                <w:lang w:val="en-US" w:eastAsia="zh-CN"/>
              </w:rPr>
              <w:t>；</w:t>
            </w:r>
          </w:p>
          <w:p>
            <w:pPr>
              <w:spacing w:line="360" w:lineRule="auto"/>
              <w:ind w:firstLine="372"/>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安全生产知识培训——2021.1.15</w:t>
            </w:r>
          </w:p>
          <w:p>
            <w:pPr>
              <w:spacing w:line="360" w:lineRule="auto"/>
              <w:ind w:firstLine="372"/>
              <w:rPr>
                <w:rFonts w:hint="default" w:ascii="宋体" w:hAnsi="宋体" w:eastAsia="宋体" w:cs="Arial"/>
                <w:spacing w:val="-6"/>
                <w:sz w:val="21"/>
                <w:szCs w:val="21"/>
                <w:lang w:val="en-US" w:eastAsia="zh-CN"/>
              </w:rPr>
            </w:pPr>
            <w:r>
              <w:rPr>
                <w:rFonts w:hint="default" w:ascii="宋体" w:hAnsi="宋体" w:eastAsia="宋体" w:cs="Arial"/>
                <w:spacing w:val="-6"/>
                <w:sz w:val="21"/>
                <w:szCs w:val="21"/>
                <w:lang w:val="en-US" w:eastAsia="zh-CN"/>
              </w:rPr>
              <w:t>岗位技能培训</w:t>
            </w:r>
            <w:r>
              <w:rPr>
                <w:rFonts w:hint="eastAsia" w:ascii="宋体" w:hAnsi="宋体" w:eastAsia="宋体" w:cs="Arial"/>
                <w:spacing w:val="-6"/>
                <w:sz w:val="21"/>
                <w:szCs w:val="21"/>
                <w:lang w:val="en-US" w:eastAsia="zh-CN"/>
              </w:rPr>
              <w:t>——</w:t>
            </w:r>
            <w:r>
              <w:rPr>
                <w:rFonts w:hint="default" w:ascii="宋体" w:hAnsi="宋体" w:eastAsia="宋体" w:cs="Arial"/>
                <w:spacing w:val="-6"/>
                <w:sz w:val="21"/>
                <w:szCs w:val="21"/>
                <w:lang w:val="en-US" w:eastAsia="zh-CN"/>
              </w:rPr>
              <w:t>2021.2.1</w:t>
            </w:r>
          </w:p>
          <w:p>
            <w:pPr>
              <w:spacing w:line="360" w:lineRule="auto"/>
              <w:ind w:firstLine="372"/>
              <w:rPr>
                <w:rFonts w:hint="default" w:ascii="宋体" w:hAnsi="宋体" w:eastAsia="宋体" w:cs="Arial"/>
                <w:spacing w:val="-6"/>
                <w:sz w:val="21"/>
                <w:szCs w:val="21"/>
                <w:lang w:val="en-US" w:eastAsia="zh-CN"/>
              </w:rPr>
            </w:pPr>
            <w:r>
              <w:rPr>
                <w:rFonts w:hint="default" w:ascii="宋体" w:hAnsi="宋体" w:eastAsia="宋体" w:cs="Arial"/>
                <w:spacing w:val="-6"/>
                <w:sz w:val="21"/>
                <w:szCs w:val="21"/>
                <w:lang w:val="en-US" w:eastAsia="zh-CN"/>
              </w:rPr>
              <w:t>公司管理制度培训</w:t>
            </w:r>
            <w:r>
              <w:rPr>
                <w:rFonts w:hint="eastAsia" w:ascii="宋体" w:hAnsi="宋体" w:eastAsia="宋体" w:cs="Arial"/>
                <w:spacing w:val="-6"/>
                <w:sz w:val="21"/>
                <w:szCs w:val="21"/>
                <w:lang w:val="en-US" w:eastAsia="zh-CN"/>
              </w:rPr>
              <w:t>——</w:t>
            </w:r>
            <w:r>
              <w:rPr>
                <w:rFonts w:hint="default" w:ascii="宋体" w:hAnsi="宋体" w:eastAsia="宋体" w:cs="Arial"/>
                <w:spacing w:val="-6"/>
                <w:sz w:val="21"/>
                <w:szCs w:val="21"/>
                <w:lang w:val="en-US" w:eastAsia="zh-CN"/>
              </w:rPr>
              <w:t>2021.3.26</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Arial"/>
                <w:spacing w:val="-6"/>
                <w:sz w:val="21"/>
                <w:szCs w:val="21"/>
                <w:lang w:val="en-US" w:eastAsia="zh-CN"/>
              </w:rPr>
            </w:pPr>
            <w:r>
              <w:rPr>
                <w:rFonts w:hint="default" w:ascii="Times New Roman" w:hAnsi="Times New Roman" w:cs="Times New Roman"/>
                <w:color w:val="auto"/>
                <w:szCs w:val="22"/>
                <w:highlight w:val="none"/>
                <w:lang w:val="en-US" w:eastAsia="zh-CN"/>
              </w:rPr>
              <w:t>考核及评价记录显示以口头问答的方式对培训效果进行了评价，培训达到预期的目的。</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60" w:type="dxa"/>
          </w:tcPr>
          <w:p>
            <w:pPr>
              <w:rPr>
                <w:rFonts w:hint="eastAsia" w:ascii="宋体" w:hAnsi="宋体" w:cs="Arial"/>
                <w:sz w:val="21"/>
                <w:szCs w:val="21"/>
                <w:lang w:val="en-US" w:eastAsia="zh-CN"/>
              </w:rPr>
            </w:pPr>
            <w:r>
              <w:rPr>
                <w:rFonts w:hint="eastAsia" w:ascii="宋体" w:hAnsi="宋体" w:cs="Arial"/>
                <w:spacing w:val="-6"/>
                <w:sz w:val="21"/>
                <w:szCs w:val="21"/>
                <w:lang w:val="en-US" w:eastAsia="zh-CN"/>
              </w:rPr>
              <w:t>组织知识</w:t>
            </w:r>
          </w:p>
        </w:tc>
        <w:tc>
          <w:tcPr>
            <w:tcW w:w="960" w:type="dxa"/>
          </w:tcPr>
          <w:p>
            <w:pPr>
              <w:rPr>
                <w:rFonts w:hint="default" w:ascii="宋体" w:hAnsi="宋体" w:cs="Arial"/>
                <w:sz w:val="21"/>
                <w:szCs w:val="21"/>
                <w:highlight w:val="none"/>
                <w:lang w:val="en-US" w:eastAsia="zh-CN"/>
              </w:rPr>
            </w:pPr>
            <w:r>
              <w:rPr>
                <w:rFonts w:hint="eastAsia" w:ascii="宋体" w:hAnsi="宋体" w:cs="Arial"/>
                <w:sz w:val="21"/>
                <w:szCs w:val="21"/>
                <w:highlight w:val="none"/>
                <w:lang w:val="en-US" w:eastAsia="zh-CN"/>
              </w:rPr>
              <w:t>Q:</w:t>
            </w:r>
            <w:r>
              <w:rPr>
                <w:rFonts w:hint="eastAsia" w:ascii="宋体" w:hAnsi="宋体" w:cs="Arial"/>
                <w:spacing w:val="-6"/>
                <w:sz w:val="21"/>
                <w:szCs w:val="21"/>
                <w:highlight w:val="none"/>
                <w:lang w:val="en-US" w:eastAsia="zh-CN"/>
              </w:rPr>
              <w:t>7.1.6</w:t>
            </w:r>
          </w:p>
        </w:tc>
        <w:tc>
          <w:tcPr>
            <w:tcW w:w="10004"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各部门按照职责从内外部各种渠道获得与其职责相关所需的知识，包括操作规程、管理技巧与经验、失败和事故的案例分析、科研成果、商标等；把知识形成各种规章制度用于指导公司的日常工作和管理，包括体系文件、支持性文件、各种记录表单。</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从内部来源获取的有：多年的工作经验、教训、内部的知识产权等；</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外部来源获取有：标杆对比、行业会议、客户技术要求、咨询老师传授的体系知识及所实施的内审员的培训；顾客方提供的资料等。</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保持有</w:t>
            </w:r>
            <w:r>
              <w:rPr>
                <w:rFonts w:hint="eastAsia" w:cs="Times New Roman"/>
                <w:color w:val="auto"/>
                <w:szCs w:val="22"/>
                <w:highlight w:val="none"/>
                <w:lang w:val="en-US" w:eastAsia="zh-CN"/>
              </w:rPr>
              <w:t>专利</w:t>
            </w:r>
            <w:r>
              <w:rPr>
                <w:rFonts w:hint="eastAsia" w:ascii="Times New Roman" w:hAnsi="Times New Roman" w:cs="Times New Roman"/>
                <w:color w:val="auto"/>
                <w:szCs w:val="22"/>
                <w:highlight w:val="none"/>
                <w:lang w:val="en-US" w:eastAsia="zh-CN"/>
              </w:rPr>
              <w:t>证书</w:t>
            </w:r>
            <w:r>
              <w:rPr>
                <w:rFonts w:hint="eastAsia" w:cs="Times New Roman"/>
                <w:color w:val="auto"/>
                <w:szCs w:val="22"/>
                <w:highlight w:val="none"/>
                <w:lang w:val="en-US" w:eastAsia="zh-CN"/>
              </w:rPr>
              <w:t>21</w:t>
            </w:r>
            <w:r>
              <w:rPr>
                <w:rFonts w:hint="default" w:ascii="Times New Roman" w:hAnsi="Times New Roman" w:cs="Times New Roman"/>
                <w:color w:val="auto"/>
                <w:szCs w:val="22"/>
                <w:highlight w:val="none"/>
                <w:lang w:val="en-US" w:eastAsia="zh-CN"/>
              </w:rPr>
              <w:t>个</w:t>
            </w:r>
            <w:r>
              <w:rPr>
                <w:rFonts w:hint="eastAsia" w:cs="Times New Roman"/>
                <w:color w:val="auto"/>
                <w:szCs w:val="22"/>
                <w:highlight w:val="none"/>
                <w:lang w:val="en-US" w:eastAsia="zh-CN"/>
              </w:rPr>
              <w:t>，商标注册证1个——大佑农</w:t>
            </w:r>
            <w:r>
              <w:rPr>
                <w:rFonts w:hint="default" w:ascii="Times New Roman" w:hAnsi="Times New Roman" w:cs="Times New Roman"/>
                <w:color w:val="auto"/>
                <w:szCs w:val="2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在应对变化的需求和趋势时，相关部门考虑现有的知识，确定如何获取更多的必要的额外知识，并根据变化的情况及时更新。</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监视、测量、分析和评价</w:t>
            </w:r>
          </w:p>
        </w:tc>
        <w:tc>
          <w:tcPr>
            <w:tcW w:w="960" w:type="dxa"/>
            <w:vAlign w:val="top"/>
          </w:tcPr>
          <w:p>
            <w:pPr>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Q：9.1.1</w:t>
            </w:r>
          </w:p>
          <w:p>
            <w:pPr>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9.1.3</w:t>
            </w:r>
          </w:p>
        </w:tc>
        <w:tc>
          <w:tcPr>
            <w:tcW w:w="10004" w:type="dxa"/>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公司组织各部门策划和实施必要的监视和测量活动，确保产品、体系和过程的符合性，以持续改进质量管理体系的有效性。</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公司的过程和体系的监视和测量主要是通过内审、管理评审、目标考核以及日常工作监督、产品检验、顾客满意度测量等的方式完成。</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行政部负责对体系、过程的日常监测</w:t>
            </w:r>
            <w:r>
              <w:rPr>
                <w:rFonts w:hint="eastAsia" w:cs="Times New Roman"/>
                <w:color w:val="auto"/>
                <w:szCs w:val="22"/>
                <w:highlight w:val="none"/>
                <w:lang w:val="en-US" w:eastAsia="zh-CN"/>
              </w:rPr>
              <w:t>，</w:t>
            </w:r>
            <w:r>
              <w:rPr>
                <w:rFonts w:hint="default" w:ascii="Times New Roman" w:hAnsi="Times New Roman" w:cs="Times New Roman"/>
                <w:color w:val="auto"/>
                <w:szCs w:val="22"/>
                <w:highlight w:val="none"/>
                <w:lang w:val="en-US" w:eastAsia="zh-CN"/>
              </w:rPr>
              <w:t>对目标完成情况进行收集和统计分析，并制作目标完成情况统计表</w:t>
            </w:r>
            <w:r>
              <w:rPr>
                <w:rFonts w:hint="eastAsia" w:cs="Times New Roman"/>
                <w:color w:val="auto"/>
                <w:szCs w:val="2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生产部对产品实现各过程进行监督检查，按照要求进行了产品实现各阶段的检验</w:t>
            </w:r>
            <w:r>
              <w:rPr>
                <w:rFonts w:hint="eastAsia" w:cs="Times New Roman"/>
                <w:color w:val="auto"/>
                <w:szCs w:val="2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销售部对顾客满意度进行了定期评价和分析。</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公司已建立了监视和测量的渠道并实施，但利用深度须加强，已交流。</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公司已对管理体系的监视、测量、分析和评价进行了策划，基本能够按照要求实施。</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rFonts w:hint="eastAsia"/>
                <w:lang w:val="en-US" w:eastAsia="zh-CN"/>
              </w:rPr>
            </w:pPr>
            <w:r>
              <w:rPr>
                <w:rFonts w:hint="eastAsia"/>
                <w:lang w:val="en-US" w:eastAsia="zh-CN"/>
              </w:rPr>
              <w:t>内部审核</w:t>
            </w:r>
          </w:p>
          <w:p>
            <w:pPr>
              <w:pStyle w:val="2"/>
              <w:ind w:left="0" w:leftChars="0" w:firstLine="0" w:firstLineChars="0"/>
              <w:rPr>
                <w:rFonts w:hint="eastAsia"/>
                <w:lang w:val="en-US" w:eastAsia="zh-CN"/>
              </w:rPr>
            </w:pPr>
            <w:r>
              <w:rPr>
                <w:rFonts w:hint="eastAsia"/>
                <w:lang w:val="en-US" w:eastAsia="zh-CN"/>
              </w:rPr>
              <w:t>不合格和纠正措施</w:t>
            </w:r>
          </w:p>
        </w:tc>
        <w:tc>
          <w:tcPr>
            <w:tcW w:w="960" w:type="dxa"/>
            <w:vAlign w:val="top"/>
          </w:tcPr>
          <w:p>
            <w:pPr>
              <w:rPr>
                <w:rFonts w:hint="eastAsia"/>
                <w:lang w:val="en-US" w:eastAsia="zh-CN"/>
              </w:rPr>
            </w:pPr>
            <w:r>
              <w:rPr>
                <w:rFonts w:hint="eastAsia"/>
                <w:lang w:val="en-US" w:eastAsia="zh-CN"/>
              </w:rPr>
              <w:t>Q：9.2</w:t>
            </w:r>
          </w:p>
          <w:p>
            <w:pPr>
              <w:pStyle w:val="2"/>
              <w:ind w:left="0" w:leftChars="0" w:firstLine="0" w:firstLineChars="0"/>
              <w:rPr>
                <w:rFonts w:hint="default"/>
                <w:lang w:val="en-US" w:eastAsia="zh-CN"/>
              </w:rPr>
            </w:pPr>
            <w:r>
              <w:rPr>
                <w:rFonts w:hint="eastAsia" w:ascii="宋体" w:hAnsi="宋体" w:cs="Arial"/>
                <w:spacing w:val="-6"/>
                <w:sz w:val="21"/>
                <w:szCs w:val="21"/>
                <w:lang w:val="en-US" w:eastAsia="zh-CN"/>
              </w:rPr>
              <w:t>10.2</w:t>
            </w:r>
          </w:p>
        </w:tc>
        <w:tc>
          <w:tcPr>
            <w:tcW w:w="10004"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制定有《内部审核程序》，有效文件；</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2021年01月08，对各部门进行了内审，保留了内审计划、内审记录、不符合报告、内审报告；内审覆盖了管理体系范围内的活动及标准的要求；</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本次内审未发现不合格项；</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内审结论为：三体系运行基本良好，运行达到一定的效果，基本符合标准的要求，但仍存在不足，各部门应举一反三，对类似问题予以整改。</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 xml:space="preserve">公司建立“不符合、纠正和预防措施控制程序”、“事故调查处理控制程序”，有效文件，无变化。对纠正预防措施识别、评审、验证，事故事件报告、调查、处理等进行了策划。 </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对日常检查和内审、管理评审中提出的不合格项进行了原因分析，并策划纠正措施并实施，对所采取的纠正措施进行验证。</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体系运行以来公司按照体系的要求，通过运行控制、加强培训，以及开展管理评审活动等方式采取预防措施，防止不符合/不合格的发生，不符合得到了有效控制。</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公司成立以来没有发生重大质量事故和投诉处罚。</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基本符合标准规定要求。</w:t>
            </w:r>
          </w:p>
        </w:tc>
        <w:tc>
          <w:tcPr>
            <w:tcW w:w="1585" w:type="dxa"/>
          </w:tcPr>
          <w:p>
            <w:pPr>
              <w:rPr>
                <w:rFonts w:hint="eastAsia" w:eastAsia="宋体"/>
                <w:lang w:val="en-US" w:eastAsia="zh-CN"/>
              </w:rPr>
            </w:pPr>
            <w:r>
              <w:rPr>
                <w:rFonts w:hint="eastAsia"/>
                <w:lang w:val="en-US" w:eastAsia="zh-CN"/>
              </w:rPr>
              <w:t>Y</w:t>
            </w:r>
            <w:bookmarkStart w:id="0" w:name="_GoBack"/>
            <w:bookmarkEnd w:id="0"/>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2</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CJGkgtwgEAAHcDAAAOAAAAAAAAAAEAIAAAACUBAABkcnMvZTJvRG9j&#10;LnhtbFBLBQYAAAAABgAGAFkBAABZBQ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191D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rFonts w:ascii="Times New Roman" w:hAnsi="Times New Roman" w:eastAsia="宋体" w:cs="Times New Roman"/>
      <w:sz w:val="18"/>
      <w:szCs w:val="18"/>
    </w:rPr>
  </w:style>
  <w:style w:type="character" w:customStyle="1" w:styleId="9">
    <w:name w:val="页脚 字符"/>
    <w:basedOn w:val="7"/>
    <w:link w:val="4"/>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2021-07-13T03:05:00Z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