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0680-2021-QJEO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武汉振辉建设有限公司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322"/>
        <w:gridCol w:w="1179"/>
        <w:gridCol w:w="840"/>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gridSpan w:val="2"/>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1229" w:type="dxa"/>
            <w:gridSpan w:val="2"/>
            <w:vAlign w:val="center"/>
          </w:tcPr>
          <w:p>
            <w:pPr>
              <w:spacing w:line="240" w:lineRule="exact"/>
              <w:jc w:val="center"/>
              <w:rPr>
                <w:b/>
                <w:color w:val="000000"/>
                <w:sz w:val="20"/>
                <w:szCs w:val="20"/>
              </w:rPr>
            </w:pPr>
            <w:r>
              <w:rPr>
                <w:rFonts w:hint="eastAsia"/>
                <w:sz w:val="18"/>
                <w:szCs w:val="18"/>
              </w:rPr>
              <w:t>注册资格</w:t>
            </w:r>
          </w:p>
        </w:tc>
        <w:tc>
          <w:tcPr>
            <w:tcW w:w="4352" w:type="dxa"/>
            <w:gridSpan w:val="5"/>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1229" w:type="dxa"/>
            <w:gridSpan w:val="2"/>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4352" w:type="dxa"/>
            <w:gridSpan w:val="5"/>
            <w:vAlign w:val="center"/>
          </w:tcPr>
          <w:p>
            <w:pPr>
              <w:spacing w:line="240" w:lineRule="exact"/>
              <w:jc w:val="center"/>
              <w:rPr>
                <w:b/>
                <w:color w:val="000000"/>
                <w:sz w:val="20"/>
                <w:szCs w:val="20"/>
              </w:rPr>
            </w:pPr>
            <w:r>
              <w:rPr>
                <w:b/>
                <w:color w:val="000000"/>
                <w:sz w:val="20"/>
                <w:szCs w:val="20"/>
              </w:rPr>
              <w:t>EC:28.02.00,28.03.01,28.07.01,28.07.03,28.08.01,28.08.02,28.08.03,28.08.04,28.08.05,28.09.02</w:t>
            </w:r>
          </w:p>
          <w:p>
            <w:pPr>
              <w:spacing w:line="240" w:lineRule="exact"/>
              <w:jc w:val="center"/>
              <w:rPr>
                <w:b/>
                <w:color w:val="000000"/>
                <w:sz w:val="20"/>
                <w:szCs w:val="20"/>
              </w:rPr>
            </w:pPr>
            <w:r>
              <w:rPr>
                <w:b/>
                <w:color w:val="000000"/>
                <w:sz w:val="20"/>
                <w:szCs w:val="20"/>
              </w:rPr>
              <w:t>E:28.02.00,28.03.01,28.07.01,28.07.03,28.08.01,28.08.02,28.08.03,28.08.04,28.08.05,28.09.02</w:t>
            </w:r>
          </w:p>
          <w:p>
            <w:pPr>
              <w:spacing w:line="240" w:lineRule="exact"/>
              <w:jc w:val="center"/>
              <w:rPr>
                <w:b/>
                <w:color w:val="000000"/>
                <w:sz w:val="20"/>
                <w:szCs w:val="20"/>
              </w:rPr>
            </w:pPr>
            <w:r>
              <w:rPr>
                <w:b/>
                <w:color w:val="000000"/>
                <w:sz w:val="20"/>
                <w:szCs w:val="20"/>
              </w:rPr>
              <w:t>O:28.02.00,28.03.01,28.07.01,28.07.03,28.08.01,28.08.02,28.08.03,28.08.04,28.08.05,28.09.02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1229" w:type="dxa"/>
            <w:gridSpan w:val="2"/>
            <w:vAlign w:val="center"/>
          </w:tcPr>
          <w:p>
            <w:pPr>
              <w:rPr>
                <w:b/>
                <w:color w:val="000000"/>
                <w:sz w:val="20"/>
                <w:szCs w:val="20"/>
              </w:rPr>
            </w:pPr>
          </w:p>
        </w:tc>
        <w:tc>
          <w:tcPr>
            <w:tcW w:w="4352"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1229" w:type="dxa"/>
            <w:gridSpan w:val="2"/>
            <w:vAlign w:val="center"/>
          </w:tcPr>
          <w:p>
            <w:pPr>
              <w:rPr>
                <w:b/>
                <w:color w:val="000000"/>
                <w:sz w:val="20"/>
                <w:szCs w:val="20"/>
              </w:rPr>
            </w:pPr>
            <w:r>
              <w:rPr>
                <w:rFonts w:hint="eastAsia"/>
                <w:b/>
                <w:color w:val="000000"/>
                <w:sz w:val="20"/>
                <w:szCs w:val="20"/>
              </w:rPr>
              <w:t>工作单位</w:t>
            </w:r>
          </w:p>
        </w:tc>
        <w:tc>
          <w:tcPr>
            <w:tcW w:w="4352"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1229" w:type="dxa"/>
            <w:gridSpan w:val="2"/>
            <w:vAlign w:val="center"/>
          </w:tcPr>
          <w:p>
            <w:pPr>
              <w:rPr>
                <w:b/>
                <w:color w:val="000000"/>
              </w:rPr>
            </w:pPr>
          </w:p>
        </w:tc>
        <w:tc>
          <w:tcPr>
            <w:tcW w:w="4352" w:type="dxa"/>
            <w:gridSpan w:val="5"/>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1229" w:type="dxa"/>
            <w:gridSpan w:val="2"/>
            <w:vAlign w:val="center"/>
          </w:tcPr>
          <w:p>
            <w:pPr>
              <w:rPr>
                <w:b/>
                <w:color w:val="000000"/>
              </w:rPr>
            </w:pPr>
          </w:p>
        </w:tc>
        <w:tc>
          <w:tcPr>
            <w:tcW w:w="4352" w:type="dxa"/>
            <w:gridSpan w:val="5"/>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46"/>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武汉振辉建设有限公司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武汉市新洲区凤凰镇南路西（人民路2号-15）</w:t>
            </w:r>
            <w:bookmarkEnd w:id="8"/>
          </w:p>
        </w:tc>
        <w:tc>
          <w:tcPr>
            <w:tcW w:w="846"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54" w:type="dxa"/>
          </w:tcPr>
          <w:p>
            <w:pPr>
              <w:spacing w:line="280" w:lineRule="exact"/>
              <w:rPr>
                <w:rFonts w:ascii="宋体"/>
                <w:b/>
                <w:color w:val="000000"/>
                <w:sz w:val="20"/>
                <w:szCs w:val="20"/>
              </w:rPr>
            </w:pPr>
            <w:bookmarkStart w:id="9" w:name="注册邮编"/>
            <w:r>
              <w:rPr>
                <w:rFonts w:ascii="宋体"/>
                <w:b/>
                <w:color w:val="000000"/>
                <w:sz w:val="20"/>
                <w:szCs w:val="20"/>
              </w:rPr>
              <w:t>430499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r>
              <w:rPr>
                <w:rFonts w:ascii="宋体"/>
                <w:b/>
                <w:color w:val="000000"/>
                <w:sz w:val="20"/>
                <w:szCs w:val="20"/>
              </w:rPr>
              <w:t>武汉市新洲区邾城街道衡州大街168号</w:t>
            </w:r>
          </w:p>
        </w:tc>
        <w:tc>
          <w:tcPr>
            <w:tcW w:w="846" w:type="dxa"/>
            <w:vMerge w:val="continue"/>
            <w:vAlign w:val="center"/>
          </w:tcPr>
          <w:p>
            <w:pPr>
              <w:spacing w:line="280" w:lineRule="exact"/>
              <w:jc w:val="center"/>
              <w:rPr>
                <w:rFonts w:ascii="宋体"/>
                <w:b/>
                <w:color w:val="000000"/>
                <w:sz w:val="20"/>
                <w:szCs w:val="20"/>
              </w:rPr>
            </w:pPr>
          </w:p>
        </w:tc>
        <w:tc>
          <w:tcPr>
            <w:tcW w:w="1954"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武汉市新洲区邾城街道衡州大街168号</w:t>
            </w:r>
            <w:bookmarkEnd w:id="12"/>
          </w:p>
        </w:tc>
        <w:tc>
          <w:tcPr>
            <w:tcW w:w="846" w:type="dxa"/>
            <w:vMerge w:val="continue"/>
            <w:vAlign w:val="center"/>
          </w:tcPr>
          <w:p>
            <w:pPr>
              <w:spacing w:line="280" w:lineRule="exact"/>
              <w:jc w:val="center"/>
              <w:rPr>
                <w:rFonts w:ascii="宋体"/>
                <w:b/>
                <w:color w:val="000000"/>
                <w:sz w:val="20"/>
                <w:szCs w:val="20"/>
              </w:rPr>
            </w:pPr>
          </w:p>
        </w:tc>
        <w:tc>
          <w:tcPr>
            <w:tcW w:w="1954" w:type="dxa"/>
          </w:tcPr>
          <w:p>
            <w:pPr>
              <w:spacing w:line="280" w:lineRule="exact"/>
              <w:rPr>
                <w:rFonts w:ascii="宋体"/>
                <w:b/>
                <w:color w:val="000000"/>
                <w:sz w:val="20"/>
                <w:szCs w:val="20"/>
              </w:rPr>
            </w:pPr>
            <w:bookmarkStart w:id="13" w:name="生产邮编Add1"/>
            <w:r>
              <w:rPr>
                <w:rFonts w:ascii="宋体"/>
                <w:b/>
                <w:color w:val="000000"/>
                <w:sz w:val="20"/>
                <w:szCs w:val="20"/>
              </w:rPr>
              <w:t>430499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hint="eastAsia" w:ascii="宋体"/>
                <w:b/>
                <w:color w:val="000000"/>
                <w:sz w:val="20"/>
                <w:szCs w:val="20"/>
                <w:lang w:val="en-US" w:eastAsia="zh-CN"/>
              </w:rPr>
              <w:t>蔡</w:t>
            </w:r>
            <w:r>
              <w:rPr>
                <w:rFonts w:ascii="宋体"/>
                <w:b/>
                <w:color w:val="000000"/>
                <w:sz w:val="20"/>
                <w:szCs w:val="20"/>
              </w:rPr>
              <w:t>钰霞</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18995653303</w:t>
            </w:r>
            <w:bookmarkEnd w:id="15"/>
          </w:p>
        </w:tc>
        <w:tc>
          <w:tcPr>
            <w:tcW w:w="846"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54"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黄静</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ascii="宋体"/>
                <w:b/>
                <w:color w:val="000000"/>
                <w:sz w:val="20"/>
                <w:szCs w:val="20"/>
                <w:lang w:val="en-US" w:eastAsia="zh-CN"/>
              </w:rPr>
              <w:t>蔡</w:t>
            </w:r>
            <w:r>
              <w:rPr>
                <w:rFonts w:ascii="宋体"/>
                <w:b/>
                <w:color w:val="000000"/>
                <w:sz w:val="20"/>
                <w:szCs w:val="20"/>
              </w:rPr>
              <w:t>钰霞</w:t>
            </w:r>
          </w:p>
        </w:tc>
        <w:tc>
          <w:tcPr>
            <w:tcW w:w="846" w:type="dxa"/>
          </w:tcPr>
          <w:p>
            <w:pPr>
              <w:jc w:val="center"/>
              <w:rPr>
                <w:rFonts w:ascii="宋体"/>
                <w:b/>
                <w:color w:val="000000"/>
                <w:sz w:val="20"/>
                <w:szCs w:val="20"/>
              </w:rPr>
            </w:pPr>
            <w:r>
              <w:rPr>
                <w:rFonts w:hint="eastAsia" w:ascii="宋体"/>
                <w:b/>
                <w:color w:val="000000"/>
                <w:sz w:val="20"/>
                <w:szCs w:val="20"/>
              </w:rPr>
              <w:t>邮箱</w:t>
            </w:r>
          </w:p>
        </w:tc>
        <w:tc>
          <w:tcPr>
            <w:tcW w:w="1954" w:type="dxa"/>
          </w:tcPr>
          <w:p>
            <w:pPr>
              <w:rPr>
                <w:rFonts w:ascii="宋体"/>
                <w:b/>
                <w:color w:val="000000"/>
                <w:sz w:val="20"/>
                <w:szCs w:val="20"/>
              </w:rPr>
            </w:pPr>
            <w:bookmarkStart w:id="18" w:name="联系人邮箱Add1"/>
            <w:r>
              <w:rPr>
                <w:rFonts w:ascii="宋体"/>
                <w:b/>
                <w:color w:val="000000"/>
                <w:sz w:val="20"/>
                <w:szCs w:val="20"/>
              </w:rPr>
              <w:t>457526152@qq.com</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9" w:name="审核范围"/>
            <w:r>
              <w:rPr>
                <w:rFonts w:ascii="宋体" w:hAnsi="宋体"/>
                <w:b/>
                <w:color w:val="000000"/>
                <w:sz w:val="20"/>
                <w:szCs w:val="20"/>
              </w:rPr>
              <w:t>EC：资质范围内的建筑工程施工总承包、市政公用工程施工总承包、钢结构工程专业总承包、建筑装修装饰工程专业承包、防水防腐保温工程专业承包，建筑幕墙工程专业承包，环保工程专业承包，城市及道路照明工程专业承包，地基与基础工程专业承包，起重设备安装工程专业承包，古建筑工程专业承包</w:t>
            </w:r>
          </w:p>
          <w:p>
            <w:pPr>
              <w:spacing w:line="400" w:lineRule="exact"/>
              <w:rPr>
                <w:rFonts w:ascii="宋体" w:hAnsi="宋体"/>
                <w:b/>
                <w:color w:val="000000"/>
                <w:sz w:val="20"/>
                <w:szCs w:val="20"/>
              </w:rPr>
            </w:pPr>
            <w:r>
              <w:rPr>
                <w:rFonts w:ascii="宋体" w:hAnsi="宋体"/>
                <w:b/>
                <w:color w:val="000000"/>
                <w:sz w:val="20"/>
                <w:szCs w:val="20"/>
              </w:rPr>
              <w:t>E：资质范围内的建筑工程施工总承包、市政公用工程施工总承包、钢结构工程专业总承包、建筑装修装饰工程专业承包、防水防腐保温工程专业承包，建筑幕墙工程专业承包，环保工程专业承包，城市及道路照明工程专业承包，地基与基础工程专业承包，起重设备安装工程专业承包，古建筑工程专业承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建筑工程施工总承包、市政公用工程施工总承包、钢结构工程专业总承包、建筑装修装饰工程专业承包、防水防腐保温工程专业承包，建筑幕墙工程专业承包，环保工程专业承包，城市及道路照明工程专业承包，地基与基础工程专业承包，起重设备安装工程专业承包，古建筑工程专业承包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0" w:name="专业代码"/>
            <w:r>
              <w:rPr>
                <w:rFonts w:ascii="宋体"/>
                <w:b/>
                <w:color w:val="000000"/>
                <w:sz w:val="20"/>
                <w:szCs w:val="20"/>
              </w:rPr>
              <w:t>EC：28.02.00;28.03.01;28.07.01;28.07.03;28.08.01;28.08.02;28.08.03;28.08.04;28.08.05;28.09.02</w:t>
            </w:r>
          </w:p>
          <w:p>
            <w:pPr>
              <w:spacing w:line="280" w:lineRule="exact"/>
              <w:rPr>
                <w:rFonts w:ascii="宋体"/>
                <w:b/>
                <w:color w:val="000000"/>
                <w:sz w:val="20"/>
                <w:szCs w:val="20"/>
              </w:rPr>
            </w:pPr>
            <w:r>
              <w:rPr>
                <w:rFonts w:ascii="宋体"/>
                <w:b/>
                <w:color w:val="000000"/>
                <w:sz w:val="20"/>
                <w:szCs w:val="20"/>
              </w:rPr>
              <w:t>E：28.02.00;28.03.01;28.07.01;28.07.03;28.08.01;28.08.02;28.08.03;28.08.04;28.08.05;28.09.02</w:t>
            </w:r>
          </w:p>
          <w:p>
            <w:pPr>
              <w:spacing w:line="280" w:lineRule="exact"/>
              <w:rPr>
                <w:rFonts w:ascii="宋体"/>
                <w:b/>
                <w:color w:val="000000"/>
                <w:sz w:val="20"/>
                <w:szCs w:val="20"/>
              </w:rPr>
            </w:pPr>
            <w:r>
              <w:rPr>
                <w:rFonts w:ascii="宋体"/>
                <w:b/>
                <w:color w:val="000000"/>
                <w:sz w:val="20"/>
                <w:szCs w:val="20"/>
              </w:rPr>
              <w:t>O：28.02.00;28.03.01;28.07.01;28.07.03;28.08.01;28.08.02;28.08.03;28.08.04;28.08.05;28.09.02</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管理层、综合部、工程部、经营部、项目部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办公场所、项目部施工现场</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r>
              <w:rPr>
                <w:rFonts w:hint="eastAsia" w:ascii="宋体" w:hAnsi="宋体"/>
                <w:color w:val="000000"/>
                <w:sz w:val="20"/>
                <w:szCs w:val="20"/>
                <w:lang w:val="en-US" w:eastAsia="zh-CN"/>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b/>
                <w:color w:val="000000"/>
                <w:sz w:val="20"/>
                <w:szCs w:val="20"/>
                <w:lang w:val="en-US" w:eastAsia="zh-CN"/>
              </w:rPr>
              <w:t>/</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ascii="宋体" w:hAnsi="宋体"/>
                <w:b/>
                <w:color w:val="000000"/>
                <w:sz w:val="20"/>
                <w:szCs w:val="20"/>
              </w:rPr>
              <w:t>资质范围内的市政基础设施项目工程总承包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管理层，综合部，工程部，经营部，财务部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武汉市新洲区邾城街道衡州大街168号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环境</w:t>
            </w:r>
            <w:r>
              <w:rPr>
                <w:rFonts w:ascii="宋体" w:hAnsi="宋体"/>
                <w:color w:val="000000"/>
                <w:sz w:val="20"/>
                <w:szCs w:val="20"/>
              </w:rPr>
              <w:t>/</w:t>
            </w:r>
            <w:r>
              <w:rPr>
                <w:rFonts w:hint="eastAsia" w:ascii="宋体" w:hAnsi="宋体"/>
                <w:color w:val="000000"/>
                <w:sz w:val="20"/>
                <w:szCs w:val="20"/>
              </w:rPr>
              <w:t>安全的特殊要求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b/>
                <w:color w:val="000000"/>
                <w:sz w:val="20"/>
                <w:szCs w:val="20"/>
              </w:rPr>
            </w:pPr>
            <w:r>
              <w:rPr>
                <w:rFonts w:hint="eastAsia" w:ascii="宋体" w:hAnsi="宋体"/>
                <w:color w:val="000000"/>
                <w:sz w:val="20"/>
                <w:szCs w:val="20"/>
              </w:rPr>
              <w:t>受审核方位于：</w:t>
            </w:r>
            <w:r>
              <w:rPr>
                <w:rFonts w:ascii="宋体"/>
                <w:b/>
                <w:color w:val="000000"/>
                <w:sz w:val="20"/>
                <w:szCs w:val="20"/>
              </w:rPr>
              <w:t>武汉市新洲区邾城街道衡州大街168号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A3"/>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A3"/>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r>
              <w:rPr>
                <w:rFonts w:hint="eastAsia" w:ascii="宋体" w:hAnsi="宋体"/>
                <w:b/>
                <w:color w:val="000000"/>
                <w:sz w:val="20"/>
                <w:szCs w:val="20"/>
                <w:lang w:val="en-US" w:eastAsia="zh-CN"/>
              </w:rPr>
              <w:t>无</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pacing w:val="-10"/>
                <w:sz w:val="20"/>
                <w:szCs w:val="20"/>
                <w:lang w:val="en-US" w:eastAsia="zh-CN"/>
              </w:rPr>
            </w:pPr>
            <w:r>
              <w:rPr>
                <w:rFonts w:hint="eastAsia" w:ascii="宋体"/>
                <w:color w:val="000000"/>
                <w:sz w:val="20"/>
                <w:szCs w:val="20"/>
              </w:rPr>
              <w:t>如不一致，请简述不一致情况：</w:t>
            </w:r>
            <w:r>
              <w:rPr>
                <w:rFonts w:hint="eastAsia" w:ascii="宋体"/>
                <w:color w:val="000000"/>
                <w:sz w:val="20"/>
                <w:szCs w:val="20"/>
                <w:lang w:val="en-US" w:eastAsia="zh-CN"/>
              </w:rPr>
              <w:t>申报范围部分内容未提供相关施工现场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sym w:font="Wingdings 2" w:char="0052"/>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rPr>
                <w:rFonts w:ascii="宋体"/>
                <w:color w:val="000000"/>
                <w:sz w:val="20"/>
                <w:szCs w:val="20"/>
              </w:rPr>
            </w:pPr>
            <w:r>
              <w:rPr>
                <w:rFonts w:hint="eastAsia"/>
                <w:b/>
                <w:sz w:val="20"/>
                <w:lang w:val="en-US" w:eastAsia="zh-CN"/>
              </w:rPr>
              <w:t>施工</w:t>
            </w:r>
            <w:r>
              <w:rPr>
                <w:rFonts w:hint="eastAsia"/>
                <w:b/>
                <w:sz w:val="20"/>
              </w:rPr>
              <w:t>工程流程：签订合同—组建项目部—编制施工组织设计—</w:t>
            </w:r>
            <w:r>
              <w:rPr>
                <w:rFonts w:hint="eastAsia"/>
                <w:b/>
                <w:sz w:val="20"/>
                <w:lang w:val="en-US" w:eastAsia="zh-CN"/>
              </w:rPr>
              <w:t>施工准备---</w:t>
            </w:r>
            <w:r>
              <w:rPr>
                <w:rFonts w:hint="eastAsia"/>
                <w:b/>
                <w:sz w:val="20"/>
              </w:rPr>
              <w:t>组织施工——分部分项验收—竣工验收—交付及交付后的活动。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eastAsia="zh-CN"/>
              </w:rPr>
              <w:t>：</w:t>
            </w:r>
            <w:r>
              <w:rPr>
                <w:rFonts w:hint="eastAsia" w:ascii="宋体" w:hAnsi="宋体"/>
                <w:color w:val="000000"/>
                <w:sz w:val="20"/>
                <w:szCs w:val="20"/>
                <w:lang w:val="en-US" w:eastAsia="zh-CN"/>
              </w:rPr>
              <w:t>混凝土浇筑过程、焊接过程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专项施工方案、作业指导书、技术交底等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隐蔽工程、焊</w:t>
            </w:r>
            <w:r>
              <w:rPr>
                <w:rFonts w:hint="eastAsia"/>
                <w:b/>
                <w:color w:val="auto"/>
                <w:lang w:val="en-US" w:eastAsia="zh-CN"/>
              </w:rPr>
              <w:t>接过程</w:t>
            </w:r>
            <w:r>
              <w:rPr>
                <w:rFonts w:hint="eastAsia"/>
                <w:b/>
                <w:bCs w:val="0"/>
                <w:color w:val="auto"/>
                <w:lang w:val="en-US" w:eastAsia="zh-CN"/>
              </w:rPr>
              <w:t>、</w:t>
            </w:r>
            <w:r>
              <w:rPr>
                <w:rFonts w:hint="eastAsia" w:ascii="宋体" w:hAnsi="宋体" w:eastAsia="宋体" w:cs="宋体"/>
                <w:b/>
                <w:bCs w:val="0"/>
                <w:color w:val="000000"/>
                <w:kern w:val="0"/>
                <w:sz w:val="21"/>
                <w:szCs w:val="21"/>
                <w:lang w:val="en-US" w:eastAsia="zh-CN" w:bidi="ar"/>
              </w:rPr>
              <w:t>查看</w:t>
            </w:r>
            <w:r>
              <w:rPr>
                <w:rFonts w:hint="eastAsia" w:ascii="宋体" w:hAnsi="宋体" w:cs="宋体"/>
                <w:b/>
                <w:bCs w:val="0"/>
                <w:color w:val="000000"/>
                <w:kern w:val="0"/>
                <w:sz w:val="21"/>
                <w:szCs w:val="21"/>
                <w:lang w:val="en-US" w:eastAsia="zh-CN" w:bidi="ar"/>
              </w:rPr>
              <w:t>焊</w:t>
            </w:r>
            <w:r>
              <w:rPr>
                <w:rFonts w:hint="eastAsia" w:ascii="宋体" w:hAnsi="宋体" w:eastAsia="宋体" w:cs="宋体"/>
                <w:b/>
                <w:bCs w:val="0"/>
                <w:color w:val="000000"/>
                <w:kern w:val="0"/>
                <w:sz w:val="21"/>
                <w:szCs w:val="21"/>
                <w:lang w:val="en-US" w:eastAsia="zh-CN" w:bidi="ar"/>
              </w:rPr>
              <w:t>接</w:t>
            </w:r>
            <w:r>
              <w:rPr>
                <w:rFonts w:hint="eastAsia" w:ascii="宋体" w:hAnsi="宋体" w:cs="宋体"/>
                <w:b/>
                <w:bCs w:val="0"/>
                <w:color w:val="000000"/>
                <w:kern w:val="0"/>
                <w:sz w:val="21"/>
                <w:szCs w:val="21"/>
                <w:lang w:val="en-US" w:eastAsia="zh-CN" w:bidi="ar"/>
              </w:rPr>
              <w:t>过程</w:t>
            </w:r>
            <w:r>
              <w:rPr>
                <w:rFonts w:hint="eastAsia" w:ascii="宋体" w:hAnsi="宋体" w:eastAsia="宋体" w:cs="宋体"/>
                <w:b/>
                <w:bCs w:val="0"/>
                <w:color w:val="000000"/>
                <w:kern w:val="0"/>
                <w:sz w:val="21"/>
                <w:szCs w:val="21"/>
                <w:lang w:val="en-US" w:eastAsia="zh-CN" w:bidi="ar"/>
              </w:rPr>
              <w:t>、隐蔽工程施工过程控制，提供过程确认记录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color w:val="000000"/>
                <w:spacing w:val="-10"/>
                <w:sz w:val="20"/>
                <w:szCs w:val="20"/>
                <w:lang w:val="en-US"/>
              </w:rPr>
            </w:pPr>
            <w:r>
              <w:rPr>
                <w:rFonts w:hint="eastAsia" w:ascii="宋体" w:hAnsi="宋体"/>
                <w:color w:val="000000"/>
                <w:spacing w:val="-10"/>
                <w:sz w:val="20"/>
                <w:szCs w:val="20"/>
              </w:rPr>
              <w:t>主要设备：</w:t>
            </w:r>
            <w:r>
              <w:rPr>
                <w:rFonts w:hint="eastAsia" w:cs="Lucida Sans"/>
                <w:b w:val="0"/>
                <w:bCs w:val="0"/>
                <w:highlight w:val="none"/>
                <w:lang w:val="en-US" w:eastAsia="zh-CN"/>
              </w:rPr>
              <w:t>泥浆运输车、长臂挖掘机、发电机、钢筋调直机、钢筋切割机等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A3"/>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华文宋体" w:hAnsi="华文宋体" w:eastAsia="华文宋体" w:cs="华文宋体"/>
                <w:color w:val="000000"/>
                <w:sz w:val="21"/>
                <w:szCs w:val="21"/>
              </w:rPr>
              <w:t>：</w:t>
            </w:r>
            <w:r>
              <w:rPr>
                <w:rFonts w:hint="eastAsia" w:ascii="华文宋体" w:hAnsi="华文宋体" w:eastAsia="华文宋体" w:cs="华文宋体"/>
                <w:color w:val="auto"/>
                <w:sz w:val="21"/>
                <w:szCs w:val="21"/>
              </w:rPr>
              <w:t>GNSS接收机、水准仪、全站仪</w:t>
            </w:r>
            <w:r>
              <w:rPr>
                <w:rFonts w:hint="eastAsia" w:ascii="华文宋体" w:hAnsi="华文宋体" w:eastAsia="华文宋体" w:cs="华文宋体"/>
                <w:color w:val="auto"/>
                <w:sz w:val="21"/>
                <w:szCs w:val="21"/>
                <w:lang w:val="en-US" w:eastAsia="zh-CN"/>
              </w:rPr>
              <w:t>等未提供校准证书。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A3"/>
            </w:r>
            <w:r>
              <w:rPr>
                <w:rFonts w:hint="eastAsia" w:ascii="宋体"/>
                <w:color w:val="000000"/>
                <w:sz w:val="20"/>
                <w:szCs w:val="20"/>
              </w:rPr>
              <w:t>是</w:t>
            </w:r>
            <w:r>
              <w:rPr>
                <w:rFonts w:hint="eastAsia" w:ascii="宋体"/>
                <w:color w:val="000000"/>
                <w:sz w:val="20"/>
                <w:szCs w:val="20"/>
              </w:rPr>
              <w:sym w:font="Wingdings 2" w:char="0052"/>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噪声的排放、固废/危废的排物、火灾的排放、能源/资源消耗的发生等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w:t>
            </w:r>
            <w:r>
              <w:rPr>
                <w:rFonts w:hint="eastAsia" w:ascii="宋体"/>
                <w:color w:val="000000"/>
                <w:sz w:val="20"/>
                <w:szCs w:val="20"/>
              </w:rPr>
              <w:sym w:font="Wingdings 2" w:char="00A3"/>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应急预案有：火灾、触电、意外伤害等，通过管理方案和预防预案进行控制。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适用）通过管理方案和</w:t>
            </w:r>
            <w:r>
              <w:rPr>
                <w:rFonts w:hint="eastAsia" w:ascii="宋体"/>
                <w:color w:val="000000"/>
                <w:sz w:val="20"/>
                <w:szCs w:val="20"/>
                <w:lang w:val="en-US" w:eastAsia="zh-CN"/>
              </w:rPr>
              <w:t>应急</w:t>
            </w:r>
            <w:r>
              <w:rPr>
                <w:rFonts w:hint="eastAsia" w:ascii="宋体"/>
                <w:color w:val="000000"/>
                <w:sz w:val="20"/>
                <w:szCs w:val="20"/>
              </w:rPr>
              <w:t>预案进行控制。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不可接受风险有：火灾、触电、意外伤害等，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w:t>
            </w:r>
            <w:r>
              <w:rPr>
                <w:rFonts w:hint="eastAsia" w:ascii="宋体"/>
                <w:color w:val="000000"/>
                <w:sz w:val="20"/>
                <w:szCs w:val="20"/>
              </w:rPr>
              <w:sym w:font="Wingdings 2" w:char="00A3"/>
            </w:r>
            <w:r>
              <w:rPr>
                <w:rFonts w:hint="eastAsia" w:ascii="宋体"/>
                <w:color w:val="000000"/>
                <w:sz w:val="20"/>
                <w:szCs w:val="20"/>
              </w:rPr>
              <w:t>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auto"/>
                <w:sz w:val="20"/>
                <w:szCs w:val="20"/>
              </w:rPr>
            </w:pPr>
            <w:r>
              <w:rPr>
                <w:rFonts w:hint="eastAsia" w:ascii="宋体"/>
                <w:color w:val="000000"/>
                <w:sz w:val="20"/>
                <w:szCs w:val="20"/>
              </w:rPr>
              <w:t>组</w:t>
            </w:r>
            <w:r>
              <w:rPr>
                <w:rFonts w:hint="eastAsia" w:ascii="宋体"/>
                <w:color w:val="auto"/>
                <w:sz w:val="20"/>
                <w:szCs w:val="20"/>
              </w:rPr>
              <w:t>织员工人数：</w:t>
            </w:r>
            <w:r>
              <w:rPr>
                <w:rFonts w:hint="eastAsia" w:ascii="宋体"/>
                <w:color w:val="auto"/>
                <w:sz w:val="20"/>
                <w:szCs w:val="20"/>
                <w:lang w:val="en-US" w:eastAsia="zh-CN"/>
              </w:rPr>
              <w:t>60</w:t>
            </w:r>
            <w:r>
              <w:rPr>
                <w:rFonts w:hint="eastAsia" w:ascii="宋体"/>
                <w:color w:val="auto"/>
                <w:sz w:val="20"/>
                <w:szCs w:val="20"/>
              </w:rPr>
              <w:t>人，其中管理人员：</w:t>
            </w:r>
            <w:r>
              <w:rPr>
                <w:rFonts w:hint="eastAsia" w:ascii="宋体"/>
                <w:color w:val="auto"/>
                <w:sz w:val="20"/>
                <w:szCs w:val="20"/>
                <w:lang w:val="en-US" w:eastAsia="zh-CN"/>
              </w:rPr>
              <w:t>12</w:t>
            </w:r>
            <w:r>
              <w:rPr>
                <w:rFonts w:hint="eastAsia" w:ascii="宋体"/>
                <w:color w:val="auto"/>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hint="eastAsia" w:ascii="宋体" w:eastAsia="宋体"/>
                <w:b/>
                <w:color w:val="000000"/>
                <w:sz w:val="28"/>
                <w:szCs w:val="28"/>
                <w:lang w:val="en-US" w:eastAsia="zh-CN"/>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r>
              <w:rPr>
                <w:rFonts w:hint="eastAsia" w:ascii="宋体" w:hAnsi="宋体"/>
                <w:b/>
                <w:color w:val="000000"/>
                <w:sz w:val="16"/>
                <w:szCs w:val="16"/>
                <w:lang w:val="en-US" w:eastAsia="zh-CN"/>
              </w:rPr>
              <w:t>无</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工程部、项目部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综合部、工程部、项目部</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制定了内审核计划，对内审员进行相关标准的培训。审核方案编制合理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rPr>
                <w:szCs w:val="21"/>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 xml:space="preserve">策划较完整 </w:t>
            </w:r>
          </w:p>
          <w:p>
            <w:pPr>
              <w:spacing w:line="26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提出改进建议已得到落实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val="en-US" w:eastAsia="zh-CN"/>
              </w:rPr>
              <w:t>具备二阶段审核的基本要求。</w:t>
            </w:r>
            <w:r>
              <w:rPr>
                <w:rFonts w:ascii="宋体" w:hAnsi="宋体"/>
                <w:b/>
                <w:color w:val="000000"/>
                <w:sz w:val="20"/>
                <w:szCs w:val="20"/>
              </w:rPr>
              <w:t xml:space="preserve"> </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val="en-US" w:eastAsia="zh-CN"/>
              </w:rPr>
              <w:t>暂缓执行</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A3"/>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A3"/>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00" w:firstLineChars="400"/>
        <w:rPr>
          <w:rFonts w:ascii="宋体"/>
          <w:b/>
          <w:bCs/>
          <w:color w:val="000000"/>
          <w:sz w:val="26"/>
          <w:szCs w:val="26"/>
        </w:rPr>
      </w:pPr>
      <w:r>
        <w:rPr>
          <w:rFonts w:hint="eastAsia" w:eastAsia="宋体"/>
          <w:b w:val="0"/>
          <w:bCs w:val="0"/>
          <w:sz w:val="20"/>
          <w:lang w:eastAsia="zh-CN"/>
        </w:rPr>
        <w:drawing>
          <wp:anchor distT="0" distB="0" distL="114300" distR="114300" simplePos="0" relativeHeight="251661312" behindDoc="1" locked="0" layoutInCell="1" allowOverlap="1">
            <wp:simplePos x="0" y="0"/>
            <wp:positionH relativeFrom="column">
              <wp:posOffset>1748155</wp:posOffset>
            </wp:positionH>
            <wp:positionV relativeFrom="paragraph">
              <wp:posOffset>-7620</wp:posOffset>
            </wp:positionV>
            <wp:extent cx="676910" cy="448945"/>
            <wp:effectExtent l="0" t="0" r="8890" b="8255"/>
            <wp:wrapNone/>
            <wp:docPr id="1"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469afa572757c580ba24d384ba9816"/>
                    <pic:cNvPicPr>
                      <a:picLocks noChangeAspect="1"/>
                    </pic:cNvPicPr>
                  </pic:nvPicPr>
                  <pic:blipFill>
                    <a:blip r:embed="rId6"/>
                    <a:stretch>
                      <a:fillRect/>
                    </a:stretch>
                  </pic:blipFill>
                  <pic:spPr>
                    <a:xfrm rot="10800000" flipH="1" flipV="1">
                      <a:off x="0" y="0"/>
                      <a:ext cx="676910" cy="44894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2021年7月15日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经营部</w:t>
      </w:r>
      <w:r>
        <w:rPr>
          <w:rFonts w:hint="eastAsia" w:ascii="宋体" w:hAnsi="宋体"/>
          <w:b/>
          <w:color w:val="000000"/>
          <w:sz w:val="20"/>
          <w:szCs w:val="20"/>
        </w:rPr>
        <w:t>协商解决。</w:t>
      </w:r>
    </w:p>
    <w:p>
      <w:pPr>
        <w:rPr>
          <w:rFonts w:ascii="宋体"/>
          <w:b/>
          <w:color w:val="000000"/>
          <w:sz w:val="26"/>
          <w:szCs w:val="26"/>
        </w:rPr>
      </w:pP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重新梳理公司在建项目，公司目前提供的在建项目不满足认证范围所申报的范围，二阶段需提供适宜的施工现场及相关施工证实。</w:t>
            </w:r>
            <w:bookmarkStart w:id="21" w:name="_GoBack"/>
            <w:bookmarkEnd w:id="21"/>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测量设备未见相关统计，部分测量设备全站仪、经纬仪等未提供校准/检定的相关证实。</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3</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对公司人员资质进行梳理统计及提供与申报范围适宜的人员资质。</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eastAsia="宋体"/>
                <w:b w:val="0"/>
                <w:bCs w:val="0"/>
                <w:sz w:val="20"/>
                <w:lang w:eastAsia="zh-CN"/>
              </w:rPr>
              <w:drawing>
                <wp:anchor distT="0" distB="0" distL="114300" distR="114300" simplePos="0" relativeHeight="251662336" behindDoc="1" locked="0" layoutInCell="1" allowOverlap="1">
                  <wp:simplePos x="0" y="0"/>
                  <wp:positionH relativeFrom="column">
                    <wp:posOffset>638810</wp:posOffset>
                  </wp:positionH>
                  <wp:positionV relativeFrom="paragraph">
                    <wp:posOffset>22225</wp:posOffset>
                  </wp:positionV>
                  <wp:extent cx="632460" cy="241300"/>
                  <wp:effectExtent l="0" t="0" r="15240" b="6350"/>
                  <wp:wrapNone/>
                  <wp:docPr id="3"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b469afa572757c580ba24d384ba9816"/>
                          <pic:cNvPicPr>
                            <a:picLocks noChangeAspect="1"/>
                          </pic:cNvPicPr>
                        </pic:nvPicPr>
                        <pic:blipFill>
                          <a:blip r:embed="rId6"/>
                          <a:stretch>
                            <a:fillRect/>
                          </a:stretch>
                        </pic:blipFill>
                        <pic:spPr>
                          <a:xfrm rot="10800000" flipH="1" flipV="1">
                            <a:off x="0" y="0"/>
                            <a:ext cx="632460" cy="241300"/>
                          </a:xfrm>
                          <a:prstGeom prst="rect">
                            <a:avLst/>
                          </a:prstGeom>
                          <a:noFill/>
                          <a:ln>
                            <a:noFill/>
                          </a:ln>
                        </pic:spPr>
                      </pic:pic>
                    </a:graphicData>
                  </a:graphic>
                </wp:anchor>
              </w:drawing>
            </w: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15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w:t>
            </w:r>
            <w:r>
              <w:rPr>
                <w:rFonts w:hint="eastAsia"/>
                <w:b/>
                <w:color w:val="000000"/>
                <w:spacing w:val="-10"/>
                <w:szCs w:val="21"/>
              </w:rPr>
              <w:sym w:font="Wingdings 2" w:char="00A3"/>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1074C7"/>
    <w:rsid w:val="0DBE7F10"/>
    <w:rsid w:val="22CE0804"/>
    <w:rsid w:val="273B6FC7"/>
    <w:rsid w:val="48761642"/>
    <w:rsid w:val="4E7234B2"/>
    <w:rsid w:val="518454D0"/>
    <w:rsid w:val="5BF40081"/>
    <w:rsid w:val="6C5558FA"/>
    <w:rsid w:val="6E3D0330"/>
    <w:rsid w:val="76A22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2021-11-15T16:03:01Z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E69FB1FC00F542A78195FC0475987874</vt:lpwstr>
  </property>
</Properties>
</file>