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00"/>
        <w:gridCol w:w="1253"/>
        <w:gridCol w:w="6"/>
        <w:gridCol w:w="567"/>
        <w:gridCol w:w="1032"/>
        <w:gridCol w:w="210"/>
        <w:gridCol w:w="75"/>
        <w:gridCol w:w="101"/>
        <w:gridCol w:w="497"/>
        <w:gridCol w:w="353"/>
        <w:gridCol w:w="46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河北海通金属丝网制品有限公司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饶阳县王同岳乡马长屯村创业路20号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乔璐璐</w:t>
            </w:r>
            <w:bookmarkEnd w:id="2"/>
          </w:p>
        </w:tc>
        <w:tc>
          <w:tcPr>
            <w:tcW w:w="12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15531889585</w:t>
            </w:r>
            <w:bookmarkEnd w:id="3"/>
          </w:p>
        </w:tc>
        <w:tc>
          <w:tcPr>
            <w:tcW w:w="6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053900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1123263779@qq.com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0722-2021-EO</w:t>
            </w:r>
            <w:bookmarkEnd w:id="8"/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E：隔离栅、防眩网、防眩板、声屏障的生产及销售所涉及场所的相关环境管理活动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O：隔离栅、防眩网、防眩板、声屏障的生产及销售所涉及场所的相关职业健康安全管理活动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E：17.12.03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2021年07月16日 下午至2021年07月18日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O:17.12.03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85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E:17.12.03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（B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2021.7.17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：组织的岗位、职责权限；目标、指标管理方案；环境因素/危险源识别评价；合规义务；法律法规要求；文件化信息；人员；能力；意识；沟通；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9.2/10.2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2021.7.18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22409"/>
    <w:rsid w:val="2133423D"/>
    <w:rsid w:val="259C3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2021-07-15T06:51:02Z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A75C34D459BD43408D31454A2F0D74D4</vt:lpwstr>
  </property>
</Properties>
</file>