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1"/>
                <w:szCs w:val="21"/>
                <w:lang w:val="en-US" w:eastAsia="zh-CN"/>
              </w:rPr>
            </w:pPr>
            <w:r>
              <w:rPr>
                <w:rFonts w:hint="eastAsia"/>
                <w:sz w:val="21"/>
                <w:szCs w:val="21"/>
              </w:rPr>
              <w:t>受审核部门：</w:t>
            </w:r>
            <w:r>
              <w:rPr>
                <w:rFonts w:hint="eastAsia"/>
                <w:sz w:val="21"/>
                <w:szCs w:val="21"/>
                <w:lang w:val="en-US" w:eastAsia="zh-CN"/>
              </w:rPr>
              <w:t xml:space="preserve">工程部      </w:t>
            </w:r>
            <w:r>
              <w:rPr>
                <w:rFonts w:hint="eastAsia"/>
                <w:sz w:val="21"/>
                <w:szCs w:val="21"/>
              </w:rPr>
              <w:t xml:space="preserve"> 主管领导：</w:t>
            </w:r>
            <w:r>
              <w:rPr>
                <w:rFonts w:hint="eastAsia"/>
                <w:sz w:val="21"/>
                <w:szCs w:val="21"/>
                <w:lang w:val="en-US" w:eastAsia="zh-CN"/>
              </w:rPr>
              <w:t>武晓伟</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陪同人员：</w:t>
            </w:r>
            <w:r>
              <w:rPr>
                <w:rFonts w:hint="eastAsia"/>
                <w:sz w:val="21"/>
                <w:szCs w:val="21"/>
                <w:lang w:val="en-US" w:eastAsia="zh-CN"/>
              </w:rPr>
              <w:t>焦兴武</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eastAsia="宋体"/>
                <w:sz w:val="21"/>
                <w:szCs w:val="21"/>
                <w:lang w:val="en-US" w:eastAsia="zh-CN"/>
              </w:rPr>
            </w:pPr>
            <w:r>
              <w:rPr>
                <w:rFonts w:hint="eastAsia"/>
                <w:sz w:val="21"/>
                <w:szCs w:val="21"/>
              </w:rPr>
              <w:t>审核员：</w:t>
            </w:r>
            <w:r>
              <w:rPr>
                <w:rFonts w:hint="eastAsia"/>
                <w:sz w:val="21"/>
                <w:szCs w:val="21"/>
                <w:lang w:val="en-US" w:eastAsia="zh-CN"/>
              </w:rPr>
              <w:t>李俐、陈飞燕</w:t>
            </w:r>
            <w:r>
              <w:rPr>
                <w:rFonts w:hint="eastAsia"/>
                <w:sz w:val="21"/>
                <w:szCs w:val="21"/>
              </w:rPr>
              <w:t xml:space="preserve">  </w:t>
            </w:r>
            <w:r>
              <w:rPr>
                <w:rFonts w:hint="eastAsia"/>
                <w:sz w:val="21"/>
                <w:szCs w:val="21"/>
                <w:lang w:val="en-US" w:eastAsia="zh-CN"/>
              </w:rPr>
              <w:t xml:space="preserve">   </w:t>
            </w:r>
            <w:r>
              <w:rPr>
                <w:rFonts w:hint="eastAsia"/>
                <w:sz w:val="21"/>
                <w:szCs w:val="21"/>
              </w:rPr>
              <w:t>审核时间：202</w:t>
            </w:r>
            <w:r>
              <w:rPr>
                <w:rFonts w:hint="eastAsia"/>
                <w:sz w:val="21"/>
                <w:szCs w:val="21"/>
                <w:lang w:val="en-US" w:eastAsia="zh-CN"/>
              </w:rPr>
              <w:t>2</w:t>
            </w:r>
            <w:r>
              <w:rPr>
                <w:rFonts w:hint="eastAsia"/>
                <w:sz w:val="21"/>
                <w:szCs w:val="21"/>
              </w:rPr>
              <w:t>年</w:t>
            </w:r>
            <w:r>
              <w:rPr>
                <w:rFonts w:hint="eastAsia"/>
                <w:sz w:val="21"/>
                <w:szCs w:val="21"/>
                <w:lang w:val="en-US" w:eastAsia="zh-CN"/>
              </w:rPr>
              <w:t>2</w:t>
            </w:r>
            <w:r>
              <w:rPr>
                <w:rFonts w:hint="eastAsia"/>
                <w:sz w:val="21"/>
                <w:szCs w:val="21"/>
              </w:rPr>
              <w:t>月</w:t>
            </w:r>
            <w:r>
              <w:rPr>
                <w:rFonts w:hint="eastAsia"/>
                <w:sz w:val="21"/>
                <w:szCs w:val="21"/>
                <w:lang w:val="en-US" w:eastAsia="zh-CN"/>
              </w:rPr>
              <w:t>13</w:t>
            </w:r>
            <w:r>
              <w:rPr>
                <w:rFonts w:hint="eastAsia"/>
                <w:sz w:val="21"/>
                <w:szCs w:val="21"/>
              </w:rP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80" w:lineRule="exact"/>
              <w:jc w:val="left"/>
              <w:rPr>
                <w:rFonts w:hint="eastAsia" w:ascii="宋体" w:hAnsi="宋体" w:eastAsia="宋体" w:cs="Arial"/>
                <w:color w:val="auto"/>
                <w:sz w:val="21"/>
                <w:szCs w:val="21"/>
                <w:lang w:val="en-US" w:eastAsia="zh-CN"/>
              </w:rPr>
            </w:pPr>
            <w:r>
              <w:rPr>
                <w:rFonts w:hint="eastAsia"/>
                <w:sz w:val="21"/>
                <w:szCs w:val="21"/>
              </w:rPr>
              <w:t>审核条款：</w:t>
            </w:r>
            <w:r>
              <w:rPr>
                <w:rFonts w:hint="eastAsia" w:ascii="宋体" w:hAnsi="宋体" w:cs="Arial"/>
                <w:color w:val="auto"/>
                <w:sz w:val="21"/>
                <w:szCs w:val="21"/>
                <w:lang w:val="en-US" w:eastAsia="zh-CN"/>
              </w:rPr>
              <w:t>QEO：</w:t>
            </w:r>
            <w:r>
              <w:rPr>
                <w:rFonts w:hint="eastAsia" w:ascii="宋体" w:hAnsi="宋体" w:cs="Arial"/>
                <w:color w:val="auto"/>
                <w:sz w:val="21"/>
                <w:szCs w:val="21"/>
              </w:rPr>
              <w:t>5.3</w:t>
            </w:r>
            <w:r>
              <w:rPr>
                <w:rFonts w:hint="eastAsia" w:ascii="宋体" w:hAnsi="宋体" w:cs="Arial"/>
                <w:color w:val="auto"/>
                <w:sz w:val="21"/>
                <w:szCs w:val="21"/>
                <w:lang w:val="en-US" w:eastAsia="zh-CN"/>
              </w:rPr>
              <w:t xml:space="preserve">   Q：</w:t>
            </w:r>
            <w:r>
              <w:rPr>
                <w:rFonts w:hint="eastAsia" w:ascii="宋体" w:hAnsi="宋体" w:cs="Arial"/>
                <w:color w:val="auto"/>
                <w:sz w:val="21"/>
                <w:szCs w:val="21"/>
              </w:rPr>
              <w:t>8.5.1</w:t>
            </w:r>
            <w:r>
              <w:rPr>
                <w:rFonts w:hint="eastAsia" w:ascii="宋体" w:hAnsi="宋体" w:cs="Arial"/>
                <w:color w:val="auto"/>
                <w:sz w:val="21"/>
                <w:szCs w:val="21"/>
                <w:lang w:eastAsia="zh-CN"/>
              </w:rPr>
              <w:t>、</w:t>
            </w:r>
            <w:r>
              <w:rPr>
                <w:rFonts w:hint="eastAsia" w:ascii="宋体" w:hAnsi="宋体" w:cs="Arial"/>
                <w:color w:val="auto"/>
                <w:sz w:val="21"/>
                <w:szCs w:val="21"/>
              </w:rPr>
              <w:t>8.6</w:t>
            </w:r>
            <w:r>
              <w:rPr>
                <w:rFonts w:hint="eastAsia" w:ascii="宋体" w:hAnsi="宋体" w:cs="Arial"/>
                <w:color w:val="auto"/>
                <w:sz w:val="21"/>
                <w:szCs w:val="21"/>
                <w:lang w:val="en-US" w:eastAsia="zh-CN"/>
              </w:rPr>
              <w:t xml:space="preserve">   EO：</w:t>
            </w:r>
            <w:r>
              <w:rPr>
                <w:rFonts w:hint="eastAsia" w:ascii="宋体" w:hAnsi="宋体" w:cs="Arial"/>
                <w:color w:val="auto"/>
                <w:sz w:val="21"/>
                <w:szCs w:val="21"/>
              </w:rPr>
              <w:t>6.1.2</w:t>
            </w:r>
            <w:r>
              <w:rPr>
                <w:rFonts w:hint="eastAsia" w:ascii="宋体" w:hAnsi="宋体" w:cs="Arial"/>
                <w:color w:val="auto"/>
                <w:sz w:val="21"/>
                <w:szCs w:val="21"/>
                <w:lang w:eastAsia="zh-CN"/>
              </w:rPr>
              <w:t>、</w:t>
            </w:r>
            <w:r>
              <w:rPr>
                <w:rFonts w:hint="eastAsia" w:ascii="宋体" w:hAnsi="宋体" w:cs="Arial"/>
                <w:color w:val="auto"/>
                <w:sz w:val="21"/>
                <w:szCs w:val="21"/>
                <w:lang w:val="en-US" w:eastAsia="zh-CN"/>
              </w:rPr>
              <w:t>6.1.4、8.1、8.2</w:t>
            </w:r>
          </w:p>
          <w:p>
            <w:pPr>
              <w:rPr>
                <w:sz w:val="21"/>
                <w:szCs w:val="21"/>
              </w:rPr>
            </w:pPr>
            <w:r>
              <w:rPr>
                <w:rFonts w:hint="eastAsia" w:ascii="宋体" w:hAnsi="宋体" w:cs="Arial"/>
                <w:sz w:val="21"/>
                <w:szCs w:val="21"/>
                <w:lang w:eastAsia="zh-CN"/>
              </w:rPr>
              <w:t>（</w:t>
            </w:r>
            <w:r>
              <w:rPr>
                <w:rFonts w:hint="eastAsia" w:asciiTheme="minorEastAsia" w:hAnsiTheme="minorEastAsia" w:eastAsiaTheme="minorEastAsia" w:cstheme="minorEastAsia"/>
                <w:b w:val="0"/>
                <w:bCs w:val="0"/>
                <w:sz w:val="21"/>
                <w:szCs w:val="21"/>
                <w:lang w:val="en-US" w:eastAsia="zh-CN"/>
              </w:rPr>
              <w:t>专业条款审核有陈飞燕的专业支持</w:t>
            </w:r>
            <w:r>
              <w:rPr>
                <w:rFonts w:hint="eastAsia" w:ascii="宋体" w:hAnsi="宋体" w:cs="Arial"/>
                <w:sz w:val="21"/>
                <w:szCs w:val="21"/>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岗位、职责、权限、责任</w:t>
            </w:r>
          </w:p>
          <w:p>
            <w:pPr>
              <w:rPr>
                <w:rFonts w:hint="eastAsia" w:asciiTheme="minorEastAsia" w:hAnsiTheme="minorEastAsia" w:eastAsiaTheme="minorEastAsia" w:cstheme="minorEastAsia"/>
                <w:kern w:val="2"/>
                <w:sz w:val="21"/>
                <w:szCs w:val="21"/>
                <w:lang w:val="en-US" w:eastAsia="zh-CN" w:bidi="ar-SA"/>
              </w:rPr>
            </w:pPr>
          </w:p>
        </w:tc>
        <w:tc>
          <w:tcPr>
            <w:tcW w:w="9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QEO</w:t>
            </w:r>
            <w:r>
              <w:rPr>
                <w:rFonts w:hint="eastAsia" w:asciiTheme="minorEastAsia" w:hAnsiTheme="minorEastAsia" w:eastAsiaTheme="minorEastAsia" w:cstheme="minorEastAsia"/>
                <w:sz w:val="21"/>
                <w:szCs w:val="21"/>
              </w:rPr>
              <w:t>:5.3</w:t>
            </w:r>
          </w:p>
          <w:p>
            <w:pPr>
              <w:rPr>
                <w:rFonts w:hint="eastAsia" w:asciiTheme="minorEastAsia" w:hAnsiTheme="minorEastAsia" w:eastAsiaTheme="minorEastAsia" w:cstheme="minorEastAsia"/>
                <w:kern w:val="2"/>
                <w:sz w:val="21"/>
                <w:szCs w:val="21"/>
                <w:lang w:val="en-US" w:eastAsia="zh-CN" w:bidi="ar-SA"/>
              </w:rPr>
            </w:pPr>
          </w:p>
        </w:tc>
        <w:tc>
          <w:tcPr>
            <w:tcW w:w="10004"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 xml:space="preserve">工程部   </w:t>
            </w:r>
            <w:r>
              <w:rPr>
                <w:rFonts w:hint="eastAsia" w:asciiTheme="minorEastAsia" w:hAnsiTheme="minorEastAsia" w:eastAsiaTheme="minorEastAsia" w:cstheme="minorEastAsia"/>
                <w:sz w:val="21"/>
                <w:szCs w:val="21"/>
              </w:rPr>
              <w:t>负责人：</w:t>
            </w:r>
            <w:r>
              <w:rPr>
                <w:rFonts w:hint="eastAsia" w:asciiTheme="minorEastAsia" w:hAnsiTheme="minorEastAsia" w:eastAsiaTheme="minorEastAsia" w:cstheme="minorEastAsia"/>
                <w:sz w:val="21"/>
                <w:szCs w:val="21"/>
                <w:lang w:eastAsia="zh-CN"/>
              </w:rPr>
              <w:t xml:space="preserve">武晓伟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查《管理手册》5.3条款规定了本部门的职责和权限</w:t>
            </w:r>
            <w:r>
              <w:rPr>
                <w:rFonts w:hint="eastAsia"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sz w:val="21"/>
                <w:szCs w:val="21"/>
              </w:rPr>
              <w:t>主要负责：</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--负责供建筑机电安装工程、电子与智能化工程、防雷工程的施工、通信工程施工日常工作；</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--负责工作环境管理；</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--负责项目计划编制和组织实施；负责特殊过程确认；负责产品标识管理；负责产品防护管理；</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--负责物资的日常管理工作；</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—负责本部门环境因素和危险源的识别和管理；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—负责产品、质量、环境和职业健康安全绩效的监测与评价；</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—做好本部门的运行控制工作。</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--负责业务接洽，组织投标，签订合同；</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--负责招标文件和合同评审，组织编制投标文件；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--负责组织顾客满意度调查，收集和分析相关数据，必要时采用统计技术;</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--负责与顾客的沟通，受理和处理顾客投诉;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--负责与顾客就管理体系方面的环境和职业健康安全信息进行交流；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—负责对工作流程的执行情况进行监督、检查；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—负责对不合格产品和服务的控制；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—负责监视和测量设备的有效控制；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—负责事件调查、不合格/不符合与纠正措施的归口管理；</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—负责监控工作过程每个关健点，发现问题及时纠正；</w:t>
            </w:r>
          </w:p>
          <w:p>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—做好本部门的环境因素识别、危险源辨识与控制工作</w:t>
            </w:r>
            <w:r>
              <w:rPr>
                <w:rFonts w:hint="eastAsia" w:asciiTheme="minorEastAsia" w:hAnsiTheme="minorEastAsia" w:eastAsiaTheme="minorEastAsia" w:cstheme="minorEastAsia"/>
                <w:sz w:val="21"/>
                <w:szCs w:val="21"/>
                <w:lang w:eastAsia="zh-CN"/>
              </w:rPr>
              <w:t>。</w:t>
            </w:r>
          </w:p>
        </w:tc>
        <w:tc>
          <w:tcPr>
            <w:tcW w:w="1585" w:type="dxa"/>
          </w:tcPr>
          <w:p>
            <w:r>
              <w:rPr>
                <w:rFonts w:hint="eastAsia"/>
              </w:rPr>
              <w:t>Y</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环境因素识别，危险源辨识、风险评估及控制措施</w:t>
            </w:r>
          </w:p>
        </w:tc>
        <w:tc>
          <w:tcPr>
            <w:tcW w:w="960" w:type="dxa"/>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EO:6.1.2/6.1.4</w:t>
            </w:r>
          </w:p>
        </w:tc>
        <w:tc>
          <w:tcPr>
            <w:tcW w:w="10004" w:type="dxa"/>
            <w:vAlign w:val="top"/>
          </w:tcPr>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编制《</w:t>
            </w:r>
            <w:r>
              <w:rPr>
                <w:rFonts w:hint="eastAsia" w:ascii="宋体" w:hAnsi="宋体" w:cs="宋体"/>
                <w:szCs w:val="21"/>
              </w:rPr>
              <w:t>环境因素识别和评价控制程序</w:t>
            </w:r>
            <w:r>
              <w:rPr>
                <w:rFonts w:hint="eastAsia" w:ascii="宋体" w:hAnsi="宋体" w:cs="宋体"/>
                <w:szCs w:val="21"/>
                <w:lang w:val="en-US" w:eastAsia="zh-CN"/>
              </w:rPr>
              <w:t>》、《</w:t>
            </w:r>
            <w:r>
              <w:rPr>
                <w:rFonts w:hint="eastAsia" w:ascii="宋体" w:hAnsi="宋体" w:cs="宋体"/>
                <w:szCs w:val="21"/>
              </w:rPr>
              <w:t>危险源辨识、风险评价和控制措施的确定</w:t>
            </w:r>
            <w:r>
              <w:rPr>
                <w:rFonts w:hint="eastAsia" w:ascii="宋体" w:hAnsi="宋体" w:cs="宋体"/>
                <w:szCs w:val="21"/>
                <w:lang w:val="en-US" w:eastAsia="zh-CN"/>
              </w:rPr>
              <w:t>》、《风险和机遇分析、评价和应对措施的确定程序》等程序，按照相关程序执行。</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提供《环境因素识别排查表》识别了办公区、市场部、</w:t>
            </w:r>
            <w:r>
              <w:rPr>
                <w:rFonts w:hint="eastAsia" w:ascii="宋体" w:hAnsi="宋体" w:cs="宋体"/>
                <w:szCs w:val="21"/>
              </w:rPr>
              <w:t>建筑机电安装工程、电子与智能化工程、防雷工程的施工、通信工程施工过程</w:t>
            </w:r>
            <w:r>
              <w:rPr>
                <w:rFonts w:hint="eastAsia" w:ascii="宋体" w:hAnsi="宋体" w:cs="宋体"/>
                <w:szCs w:val="21"/>
                <w:lang w:val="en-US" w:eastAsia="zh-CN"/>
              </w:rPr>
              <w:t>等环境因素包括：水的消耗、电的消耗、办公用</w:t>
            </w:r>
            <w:r>
              <w:rPr>
                <w:rFonts w:hint="eastAsia" w:ascii="宋体" w:hAnsi="宋体" w:eastAsia="宋体" w:cs="宋体"/>
                <w:szCs w:val="21"/>
                <w:lang w:val="en-US" w:eastAsia="zh-CN"/>
              </w:rPr>
              <w:t>品的消耗、汽车尾气的排放、</w:t>
            </w:r>
            <w:r>
              <w:rPr>
                <w:rFonts w:hint="eastAsia" w:ascii="宋体" w:hAnsi="宋体" w:eastAsia="宋体" w:cs="宋体"/>
                <w:szCs w:val="21"/>
                <w:lang w:val="en-GB" w:eastAsia="zh-CN"/>
              </w:rPr>
              <w:t>废光缆头、电缆头</w:t>
            </w:r>
            <w:r>
              <w:rPr>
                <w:rFonts w:hint="eastAsia" w:ascii="宋体" w:hAnsi="宋体" w:eastAsia="宋体" w:cs="宋体"/>
                <w:szCs w:val="21"/>
                <w:lang w:val="en-US" w:eastAsia="zh-CN"/>
              </w:rPr>
              <w:t>排</w:t>
            </w:r>
            <w:r>
              <w:rPr>
                <w:rFonts w:hint="eastAsia" w:ascii="宋体" w:hAnsi="宋体" w:cs="宋体"/>
                <w:szCs w:val="21"/>
                <w:lang w:val="en-US" w:eastAsia="zh-CN"/>
              </w:rPr>
              <w:t>放、生活垃圾的排放、纸箱、包装物的废弃物、电气维修过程产生的废电线、电灯产生的废弃物等；</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提供《重要环境因素清</w:t>
            </w:r>
            <w:r>
              <w:rPr>
                <w:rFonts w:hint="eastAsia" w:ascii="宋体" w:hAnsi="宋体" w:eastAsia="宋体" w:cs="宋体"/>
                <w:szCs w:val="21"/>
                <w:lang w:val="en-US" w:eastAsia="zh-CN"/>
              </w:rPr>
              <w:t>单》</w:t>
            </w:r>
            <w:r>
              <w:rPr>
                <w:rFonts w:hint="eastAsia" w:ascii="宋体" w:hAnsi="宋体" w:cs="宋体"/>
                <w:szCs w:val="21"/>
                <w:lang w:val="en-US" w:eastAsia="zh-CN"/>
              </w:rPr>
              <w:t>2</w:t>
            </w:r>
            <w:r>
              <w:rPr>
                <w:rFonts w:hint="eastAsia" w:ascii="宋体" w:hAnsi="宋体" w:eastAsia="宋体" w:cs="宋体"/>
                <w:szCs w:val="21"/>
                <w:lang w:val="en-US" w:eastAsia="zh-CN"/>
              </w:rPr>
              <w:t>项，包括固废排放（金属、塑料边角料、网线头、材料包装物废弃、办公垃圾等）、火灾（</w:t>
            </w:r>
            <w:r>
              <w:rPr>
                <w:rFonts w:hint="eastAsia" w:ascii="宋体" w:hAnsi="宋体"/>
                <w:szCs w:val="21"/>
              </w:rPr>
              <w:t>施工、办公</w:t>
            </w:r>
            <w:r>
              <w:rPr>
                <w:rFonts w:hint="eastAsia" w:ascii="宋体" w:hAnsi="宋体"/>
                <w:szCs w:val="21"/>
                <w:lang w:val="en-US" w:eastAsia="zh-CN"/>
              </w:rPr>
              <w:t>过程潜在火灾的发生</w:t>
            </w:r>
            <w:r>
              <w:rPr>
                <w:rFonts w:hint="eastAsia" w:ascii="宋体" w:hAnsi="宋体" w:eastAsia="宋体" w:cs="宋体"/>
                <w:szCs w:val="21"/>
                <w:lang w:val="en-US" w:eastAsia="zh-CN"/>
              </w:rPr>
              <w:t>）</w:t>
            </w:r>
            <w:r>
              <w:rPr>
                <w:rFonts w:hint="eastAsia" w:ascii="宋体" w:hAnsi="宋体" w:cs="宋体"/>
                <w:szCs w:val="21"/>
                <w:lang w:val="en-US" w:eastAsia="zh-CN"/>
              </w:rPr>
              <w:t>。</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提供《危险源辨识与风险评价》，识别了办公区、市场部、</w:t>
            </w:r>
            <w:r>
              <w:rPr>
                <w:rFonts w:hint="eastAsia" w:ascii="宋体" w:hAnsi="宋体" w:cs="宋体"/>
                <w:szCs w:val="21"/>
              </w:rPr>
              <w:t>建筑机电安装工程、电子与智能化工程、防雷工程的施工、通信工程施工过程</w:t>
            </w:r>
            <w:r>
              <w:rPr>
                <w:rFonts w:hint="eastAsia" w:ascii="宋体" w:hAnsi="宋体" w:cs="宋体"/>
                <w:szCs w:val="21"/>
                <w:lang w:val="en-US" w:eastAsia="zh-CN"/>
              </w:rPr>
              <w:t>等危险源，抽查如下：</w:t>
            </w:r>
          </w:p>
          <w:p>
            <w:pPr>
              <w:spacing w:line="360" w:lineRule="auto"/>
              <w:rPr>
                <w:rFonts w:hint="eastAsia" w:ascii="宋体" w:hAnsi="宋体" w:cs="宋体"/>
                <w:szCs w:val="21"/>
                <w:lang w:val="en-US" w:eastAsia="zh-CN"/>
              </w:rPr>
            </w:pPr>
            <w:r>
              <w:rPr>
                <w:rFonts w:hint="eastAsia" w:ascii="宋体" w:hAnsi="宋体" w:cs="宋体"/>
                <w:szCs w:val="21"/>
                <w:lang w:val="en-US" w:eastAsia="zh-CN"/>
              </w:rPr>
              <w:t>作业活动</w:t>
            </w:r>
            <w:r>
              <w:rPr>
                <w:rFonts w:hint="eastAsia" w:ascii="宋体" w:hAnsi="宋体" w:cs="宋体"/>
                <w:szCs w:val="21"/>
                <w:lang w:val="en-US" w:eastAsia="zh-CN"/>
              </w:rPr>
              <w:tab/>
            </w:r>
            <w:r>
              <w:rPr>
                <w:rFonts w:hint="eastAsia" w:ascii="宋体" w:hAnsi="宋体" w:cs="宋体"/>
                <w:szCs w:val="21"/>
                <w:lang w:val="en-US" w:eastAsia="zh-CN"/>
              </w:rPr>
              <w:t xml:space="preserve">           危险源</w:t>
            </w:r>
            <w:r>
              <w:rPr>
                <w:rFonts w:hint="eastAsia" w:ascii="宋体" w:hAnsi="宋体" w:cs="宋体"/>
                <w:szCs w:val="21"/>
                <w:lang w:val="en-US" w:eastAsia="zh-CN"/>
              </w:rPr>
              <w:tab/>
            </w:r>
            <w:r>
              <w:rPr>
                <w:rFonts w:hint="eastAsia" w:ascii="宋体" w:hAnsi="宋体" w:cs="宋体"/>
                <w:szCs w:val="21"/>
                <w:lang w:val="en-US" w:eastAsia="zh-CN"/>
              </w:rPr>
              <w:t xml:space="preserve">       导致的后果</w:t>
            </w:r>
          </w:p>
          <w:p>
            <w:pPr>
              <w:spacing w:line="360" w:lineRule="auto"/>
              <w:rPr>
                <w:rFonts w:hint="eastAsia" w:ascii="宋体" w:hAnsi="宋体" w:cs="宋体"/>
                <w:szCs w:val="21"/>
                <w:lang w:val="en-US" w:eastAsia="zh-CN"/>
              </w:rPr>
            </w:pPr>
            <w:r>
              <w:rPr>
                <w:rFonts w:hint="eastAsia" w:ascii="宋体" w:hAnsi="宋体" w:cs="宋体"/>
                <w:szCs w:val="21"/>
                <w:lang w:val="en-US" w:eastAsia="zh-CN"/>
              </w:rPr>
              <w:t>杆上物体掉落</w:t>
            </w:r>
            <w:r>
              <w:rPr>
                <w:rFonts w:hint="eastAsia" w:ascii="宋体" w:hAnsi="宋体" w:cs="宋体"/>
                <w:szCs w:val="21"/>
                <w:lang w:val="en-US" w:eastAsia="zh-CN"/>
              </w:rPr>
              <w:tab/>
            </w:r>
            <w:r>
              <w:rPr>
                <w:rFonts w:hint="eastAsia" w:ascii="宋体" w:hAnsi="宋体" w:cs="宋体"/>
                <w:szCs w:val="21"/>
                <w:lang w:val="en-US" w:eastAsia="zh-CN"/>
              </w:rPr>
              <w:t xml:space="preserve">                         砸伤</w:t>
            </w:r>
          </w:p>
          <w:p>
            <w:pPr>
              <w:spacing w:line="360" w:lineRule="auto"/>
              <w:rPr>
                <w:rFonts w:hint="eastAsia" w:ascii="宋体" w:hAnsi="宋体" w:cs="宋体"/>
                <w:szCs w:val="21"/>
                <w:lang w:val="en-US" w:eastAsia="zh-CN"/>
              </w:rPr>
            </w:pPr>
            <w:r>
              <w:rPr>
                <w:rFonts w:hint="eastAsia" w:ascii="宋体" w:hAnsi="宋体" w:cs="宋体"/>
                <w:szCs w:val="21"/>
                <w:lang w:val="en-US" w:eastAsia="zh-CN"/>
              </w:rPr>
              <w:t>电动工具漏电电击        触电</w:t>
            </w:r>
            <w:r>
              <w:rPr>
                <w:rFonts w:hint="eastAsia" w:ascii="宋体" w:hAnsi="宋体" w:cs="宋体"/>
                <w:szCs w:val="21"/>
                <w:lang w:val="en-US" w:eastAsia="zh-CN"/>
              </w:rPr>
              <w:tab/>
            </w:r>
            <w:r>
              <w:rPr>
                <w:rFonts w:hint="eastAsia" w:ascii="宋体" w:hAnsi="宋体" w:cs="宋体"/>
                <w:szCs w:val="21"/>
                <w:lang w:val="en-US" w:eastAsia="zh-CN"/>
              </w:rPr>
              <w:t xml:space="preserve">        人身伤害</w:t>
            </w:r>
          </w:p>
          <w:p>
            <w:pPr>
              <w:spacing w:line="360" w:lineRule="auto"/>
              <w:rPr>
                <w:rFonts w:hint="eastAsia" w:ascii="宋体" w:hAnsi="宋体" w:cs="宋体"/>
                <w:szCs w:val="21"/>
                <w:lang w:val="en-US" w:eastAsia="zh-CN"/>
              </w:rPr>
            </w:pPr>
            <w:r>
              <w:rPr>
                <w:rFonts w:hint="eastAsia" w:ascii="宋体" w:hAnsi="宋体" w:cs="宋体"/>
                <w:szCs w:val="21"/>
                <w:lang w:val="en-US" w:eastAsia="zh-CN"/>
              </w:rPr>
              <w:t>施工垃圾未及时清理</w:t>
            </w:r>
            <w:r>
              <w:rPr>
                <w:rFonts w:hint="eastAsia" w:ascii="宋体" w:hAnsi="宋体" w:cs="宋体"/>
                <w:szCs w:val="21"/>
                <w:lang w:val="en-US" w:eastAsia="zh-CN"/>
              </w:rPr>
              <w:tab/>
            </w:r>
            <w:r>
              <w:rPr>
                <w:rFonts w:hint="eastAsia" w:ascii="宋体" w:hAnsi="宋体" w:cs="宋体"/>
                <w:szCs w:val="21"/>
                <w:lang w:val="en-US" w:eastAsia="zh-CN"/>
              </w:rPr>
              <w:t>堵塞交通、绊倒行人</w:t>
            </w:r>
            <w:r>
              <w:rPr>
                <w:rFonts w:hint="eastAsia" w:ascii="宋体" w:hAnsi="宋体" w:cs="宋体"/>
                <w:szCs w:val="21"/>
                <w:lang w:val="en-US" w:eastAsia="zh-CN"/>
              </w:rPr>
              <w:tab/>
            </w:r>
            <w:r>
              <w:rPr>
                <w:rFonts w:hint="eastAsia" w:ascii="宋体" w:hAnsi="宋体" w:cs="宋体"/>
                <w:szCs w:val="21"/>
                <w:lang w:val="en-US" w:eastAsia="zh-CN"/>
              </w:rPr>
              <w:t>人身伤害</w:t>
            </w:r>
          </w:p>
          <w:p>
            <w:pPr>
              <w:spacing w:line="360" w:lineRule="auto"/>
              <w:rPr>
                <w:rFonts w:hint="eastAsia" w:ascii="宋体" w:hAnsi="宋体" w:cs="宋体"/>
                <w:szCs w:val="21"/>
                <w:lang w:val="en-US" w:eastAsia="zh-CN"/>
              </w:rPr>
            </w:pPr>
            <w:r>
              <w:rPr>
                <w:rFonts w:hint="eastAsia" w:ascii="宋体" w:hAnsi="宋体" w:cs="宋体"/>
                <w:szCs w:val="21"/>
                <w:lang w:val="en-US" w:eastAsia="zh-CN"/>
              </w:rPr>
              <w:t>跟换线路、电灯</w:t>
            </w:r>
            <w:r>
              <w:rPr>
                <w:rFonts w:hint="eastAsia" w:ascii="宋体" w:hAnsi="宋体" w:cs="宋体"/>
                <w:szCs w:val="21"/>
                <w:lang w:val="en-US" w:eastAsia="zh-CN"/>
              </w:rPr>
              <w:tab/>
            </w:r>
            <w:r>
              <w:rPr>
                <w:rFonts w:hint="eastAsia" w:ascii="宋体" w:hAnsi="宋体" w:cs="宋体"/>
                <w:szCs w:val="21"/>
                <w:lang w:val="en-US" w:eastAsia="zh-CN"/>
              </w:rPr>
              <w:t xml:space="preserve">    引起触电</w:t>
            </w:r>
            <w:r>
              <w:rPr>
                <w:rFonts w:hint="eastAsia" w:ascii="宋体" w:hAnsi="宋体" w:cs="宋体"/>
                <w:szCs w:val="21"/>
                <w:lang w:val="en-US" w:eastAsia="zh-CN"/>
              </w:rPr>
              <w:tab/>
            </w:r>
            <w:r>
              <w:rPr>
                <w:rFonts w:hint="eastAsia" w:ascii="宋体" w:hAnsi="宋体" w:cs="宋体"/>
                <w:szCs w:val="21"/>
                <w:lang w:val="en-US" w:eastAsia="zh-CN"/>
              </w:rPr>
              <w:t xml:space="preserve">        人身伤害</w:t>
            </w:r>
          </w:p>
          <w:p>
            <w:pPr>
              <w:spacing w:line="360" w:lineRule="auto"/>
              <w:rPr>
                <w:rFonts w:hint="eastAsia" w:ascii="宋体" w:hAnsi="宋体" w:cs="宋体"/>
                <w:szCs w:val="21"/>
                <w:lang w:val="en-US" w:eastAsia="zh-CN"/>
              </w:rPr>
            </w:pPr>
            <w:r>
              <w:rPr>
                <w:rFonts w:hint="eastAsia" w:ascii="宋体" w:hAnsi="宋体" w:cs="宋体"/>
                <w:szCs w:val="21"/>
                <w:lang w:val="en-US" w:eastAsia="zh-CN"/>
              </w:rPr>
              <w:t>设备短路</w:t>
            </w:r>
            <w:r>
              <w:rPr>
                <w:rFonts w:hint="eastAsia" w:ascii="宋体" w:hAnsi="宋体" w:cs="宋体"/>
                <w:szCs w:val="21"/>
                <w:lang w:val="en-US" w:eastAsia="zh-CN"/>
              </w:rPr>
              <w:tab/>
            </w:r>
            <w:r>
              <w:rPr>
                <w:rFonts w:hint="eastAsia" w:ascii="宋体" w:hAnsi="宋体" w:cs="宋体"/>
                <w:szCs w:val="21"/>
                <w:lang w:val="en-US" w:eastAsia="zh-CN"/>
              </w:rPr>
              <w:t xml:space="preserve">        引起火灾</w:t>
            </w:r>
            <w:r>
              <w:rPr>
                <w:rFonts w:hint="eastAsia" w:ascii="宋体" w:hAnsi="宋体" w:cs="宋体"/>
                <w:szCs w:val="21"/>
                <w:lang w:val="en-US" w:eastAsia="zh-CN"/>
              </w:rPr>
              <w:tab/>
            </w:r>
            <w:r>
              <w:rPr>
                <w:rFonts w:hint="eastAsia" w:ascii="宋体" w:hAnsi="宋体" w:cs="宋体"/>
                <w:szCs w:val="21"/>
                <w:lang w:val="en-US" w:eastAsia="zh-CN"/>
              </w:rPr>
              <w:t xml:space="preserve">        人身伤害</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走线架固定不牢                      </w:t>
            </w:r>
            <w:r>
              <w:rPr>
                <w:rFonts w:hint="eastAsia" w:ascii="宋体" w:hAnsi="宋体" w:cs="宋体"/>
                <w:szCs w:val="21"/>
                <w:lang w:val="en-US" w:eastAsia="zh-CN"/>
              </w:rPr>
              <w:tab/>
            </w:r>
            <w:r>
              <w:rPr>
                <w:rFonts w:hint="eastAsia" w:ascii="宋体" w:hAnsi="宋体" w:cs="宋体"/>
                <w:szCs w:val="21"/>
                <w:lang w:val="en-US" w:eastAsia="zh-CN"/>
              </w:rPr>
              <w:t>摔伤</w:t>
            </w:r>
          </w:p>
          <w:p>
            <w:pPr>
              <w:spacing w:line="360" w:lineRule="auto"/>
              <w:rPr>
                <w:rFonts w:hint="eastAsia" w:ascii="宋体" w:hAnsi="宋体" w:cs="宋体"/>
                <w:szCs w:val="21"/>
                <w:lang w:val="en-US" w:eastAsia="zh-CN"/>
              </w:rPr>
            </w:pPr>
            <w:r>
              <w:rPr>
                <w:rFonts w:hint="eastAsia" w:ascii="宋体" w:hAnsi="宋体" w:cs="宋体"/>
                <w:szCs w:val="21"/>
                <w:lang w:val="en-US" w:eastAsia="zh-CN"/>
              </w:rPr>
              <w:t xml:space="preserve">铁塔、楼顶作业 </w:t>
            </w:r>
            <w:r>
              <w:rPr>
                <w:rFonts w:hint="eastAsia" w:ascii="宋体" w:hAnsi="宋体" w:cs="宋体"/>
                <w:szCs w:val="21"/>
                <w:lang w:val="en-US" w:eastAsia="zh-CN"/>
              </w:rPr>
              <w:tab/>
            </w:r>
            <w:r>
              <w:rPr>
                <w:rFonts w:hint="eastAsia" w:ascii="宋体" w:hAnsi="宋体" w:cs="宋体"/>
                <w:szCs w:val="21"/>
                <w:lang w:val="en-US" w:eastAsia="zh-CN"/>
              </w:rPr>
              <w:t xml:space="preserve">    从高处坠落</w:t>
            </w:r>
            <w:r>
              <w:rPr>
                <w:rFonts w:hint="eastAsia" w:ascii="宋体" w:hAnsi="宋体" w:cs="宋体"/>
                <w:szCs w:val="21"/>
                <w:lang w:val="en-US" w:eastAsia="zh-CN"/>
              </w:rPr>
              <w:tab/>
            </w:r>
            <w:r>
              <w:rPr>
                <w:rFonts w:hint="eastAsia" w:ascii="宋体" w:hAnsi="宋体" w:cs="宋体"/>
                <w:szCs w:val="21"/>
                <w:lang w:val="en-US" w:eastAsia="zh-CN"/>
              </w:rPr>
              <w:t xml:space="preserve">        人身伤害</w:t>
            </w:r>
          </w:p>
          <w:p>
            <w:pPr>
              <w:spacing w:line="360" w:lineRule="auto"/>
              <w:rPr>
                <w:rFonts w:hint="eastAsia" w:ascii="宋体" w:hAnsi="宋体" w:cs="宋体"/>
                <w:szCs w:val="21"/>
                <w:lang w:val="en-US" w:eastAsia="zh-CN"/>
              </w:rPr>
            </w:pPr>
            <w:r>
              <w:rPr>
                <w:rFonts w:hint="eastAsia" w:ascii="宋体" w:hAnsi="宋体" w:cs="宋体"/>
                <w:szCs w:val="21"/>
                <w:lang w:val="en-US" w:eastAsia="zh-CN"/>
              </w:rPr>
              <w:t>保护零线和工作零线不分、未做保护地线、未绝缘保护地接头 触电</w:t>
            </w:r>
            <w:r>
              <w:rPr>
                <w:rFonts w:hint="eastAsia" w:ascii="宋体" w:hAnsi="宋体" w:cs="宋体"/>
                <w:szCs w:val="21"/>
                <w:lang w:val="en-US" w:eastAsia="zh-CN"/>
              </w:rPr>
              <w:tab/>
            </w:r>
            <w:r>
              <w:rPr>
                <w:rFonts w:hint="eastAsia" w:ascii="宋体" w:hAnsi="宋体" w:cs="宋体"/>
                <w:szCs w:val="21"/>
                <w:lang w:val="en-US" w:eastAsia="zh-CN"/>
              </w:rPr>
              <w:t>人身伤害</w:t>
            </w:r>
          </w:p>
          <w:p>
            <w:pPr>
              <w:spacing w:line="360" w:lineRule="auto"/>
              <w:rPr>
                <w:rFonts w:hint="eastAsia" w:ascii="宋体" w:hAnsi="宋体" w:cs="宋体"/>
                <w:szCs w:val="21"/>
                <w:lang w:val="en-US" w:eastAsia="zh-CN"/>
              </w:rPr>
            </w:pPr>
            <w:r>
              <w:rPr>
                <w:rFonts w:hint="eastAsia" w:ascii="宋体" w:hAnsi="宋体" w:cs="宋体"/>
                <w:szCs w:val="21"/>
                <w:lang w:val="en-US" w:eastAsia="zh-CN"/>
              </w:rPr>
              <w:t>无护栏，从高处跌落到水处理间</w:t>
            </w:r>
            <w:r>
              <w:rPr>
                <w:rFonts w:hint="eastAsia" w:ascii="宋体" w:hAnsi="宋体" w:cs="宋体"/>
                <w:szCs w:val="21"/>
                <w:lang w:val="en-US" w:eastAsia="zh-CN"/>
              </w:rPr>
              <w:tab/>
            </w:r>
            <w:r>
              <w:rPr>
                <w:rFonts w:hint="eastAsia" w:ascii="宋体" w:hAnsi="宋体" w:cs="宋体"/>
                <w:szCs w:val="21"/>
                <w:lang w:val="en-US" w:eastAsia="zh-CN"/>
              </w:rPr>
              <w:t>从高处坠落</w:t>
            </w:r>
            <w:r>
              <w:rPr>
                <w:rFonts w:hint="eastAsia" w:ascii="宋体" w:hAnsi="宋体" w:cs="宋体"/>
                <w:szCs w:val="21"/>
                <w:lang w:val="en-US" w:eastAsia="zh-CN"/>
              </w:rPr>
              <w:tab/>
            </w:r>
            <w:r>
              <w:rPr>
                <w:rFonts w:hint="eastAsia" w:ascii="宋体" w:hAnsi="宋体" w:cs="宋体"/>
                <w:szCs w:val="21"/>
                <w:lang w:val="en-US" w:eastAsia="zh-CN"/>
              </w:rPr>
              <w:t>人身伤害</w:t>
            </w:r>
          </w:p>
          <w:p>
            <w:pPr>
              <w:spacing w:line="360" w:lineRule="auto"/>
              <w:rPr>
                <w:rFonts w:hint="eastAsia" w:ascii="宋体" w:hAnsi="宋体" w:cs="宋体"/>
                <w:szCs w:val="21"/>
                <w:lang w:val="en-US" w:eastAsia="zh-CN"/>
              </w:rPr>
            </w:pPr>
            <w:r>
              <w:rPr>
                <w:rFonts w:hint="eastAsia" w:ascii="宋体" w:hAnsi="宋体" w:cs="宋体"/>
                <w:szCs w:val="21"/>
                <w:lang w:val="en-US" w:eastAsia="zh-CN"/>
              </w:rPr>
              <w:t>线路短路/易燃物遇明火</w:t>
            </w:r>
            <w:r>
              <w:rPr>
                <w:rFonts w:hint="eastAsia" w:ascii="宋体" w:hAnsi="宋体" w:cs="宋体"/>
                <w:szCs w:val="21"/>
                <w:lang w:val="en-US" w:eastAsia="zh-CN"/>
              </w:rPr>
              <w:tab/>
            </w:r>
            <w:r>
              <w:rPr>
                <w:rFonts w:hint="eastAsia" w:ascii="宋体" w:hAnsi="宋体" w:cs="宋体"/>
                <w:szCs w:val="21"/>
                <w:lang w:val="en-US" w:eastAsia="zh-CN"/>
              </w:rPr>
              <w:t>引起火灾</w:t>
            </w:r>
            <w:r>
              <w:rPr>
                <w:rFonts w:hint="eastAsia" w:ascii="宋体" w:hAnsi="宋体" w:cs="宋体"/>
                <w:szCs w:val="21"/>
                <w:lang w:val="en-US" w:eastAsia="zh-CN"/>
              </w:rPr>
              <w:tab/>
            </w:r>
            <w:r>
              <w:rPr>
                <w:rFonts w:hint="eastAsia" w:ascii="宋体" w:hAnsi="宋体" w:cs="宋体"/>
                <w:szCs w:val="21"/>
                <w:lang w:val="en-US" w:eastAsia="zh-CN"/>
              </w:rPr>
              <w:t>人身伤害</w:t>
            </w:r>
          </w:p>
          <w:p>
            <w:pPr>
              <w:pStyle w:val="2"/>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设备违规操作</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引起触电</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2"/>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见《不可接受危险源清单》，高处坠落、触电、火灾伤害、机械伤害。</w:t>
            </w:r>
          </w:p>
          <w:p>
            <w:pPr>
              <w:pStyle w:val="2"/>
              <w:rPr>
                <w:rFonts w:hint="eastAsia" w:asciiTheme="minorEastAsia" w:hAnsiTheme="minorEastAsia" w:eastAsiaTheme="minorEastAsia" w:cstheme="minorEastAsia"/>
                <w:bCs/>
                <w:spacing w:val="1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以上重要环境因素清单、重要危险因素清单中制定了针对性控制措施，措施基本有效。</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pStyle w:val="2"/>
              <w:rPr>
                <w:rFonts w:hint="eastAsia" w:asciiTheme="minorEastAsia" w:hAnsiTheme="minorEastAsia" w:eastAsiaTheme="minorEastAsia" w:cstheme="minorEastAsia"/>
                <w:bCs/>
                <w:color w:val="auto"/>
                <w:spacing w:val="10"/>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环境和职业健康安全运行控制</w:t>
            </w:r>
          </w:p>
        </w:tc>
        <w:tc>
          <w:tcPr>
            <w:tcW w:w="960" w:type="dxa"/>
            <w:vAlign w:val="top"/>
          </w:tcPr>
          <w:p>
            <w:pPr>
              <w:rPr>
                <w:rFonts w:ascii="宋体" w:hAnsi="宋体" w:cs="新宋体"/>
                <w:szCs w:val="21"/>
              </w:rPr>
            </w:pPr>
            <w:r>
              <w:rPr>
                <w:rFonts w:hint="eastAsia" w:ascii="宋体" w:hAnsi="宋体" w:cs="新宋体"/>
                <w:szCs w:val="21"/>
              </w:rPr>
              <w:t>E8.1 </w:t>
            </w:r>
          </w:p>
          <w:p>
            <w:pPr>
              <w:rPr>
                <w:rFonts w:hint="eastAsia" w:asciiTheme="minorEastAsia" w:hAnsiTheme="minorEastAsia" w:eastAsiaTheme="minorEastAsia" w:cstheme="minorEastAsia"/>
                <w:bCs/>
                <w:color w:val="auto"/>
                <w:spacing w:val="10"/>
                <w:kern w:val="2"/>
                <w:sz w:val="21"/>
                <w:szCs w:val="21"/>
                <w:highlight w:val="none"/>
                <w:lang w:val="en-US" w:eastAsia="zh-CN" w:bidi="ar-SA"/>
              </w:rPr>
            </w:pPr>
            <w:r>
              <w:rPr>
                <w:rFonts w:hint="eastAsia" w:ascii="宋体" w:hAnsi="宋体" w:cs="新宋体"/>
                <w:szCs w:val="21"/>
              </w:rPr>
              <w:t>S8.1</w:t>
            </w:r>
          </w:p>
        </w:tc>
        <w:tc>
          <w:tcPr>
            <w:tcW w:w="10004" w:type="dxa"/>
            <w:vAlign w:val="top"/>
          </w:tcPr>
          <w:p>
            <w:pPr>
              <w:tabs>
                <w:tab w:val="left" w:pos="1080"/>
              </w:tabs>
            </w:pPr>
            <w:r>
              <w:rPr>
                <w:rFonts w:hint="eastAsia"/>
              </w:rPr>
              <w:t xml:space="preserve">    在工程部查看，提供有建筑机电安装工程、电子与智能化工程、防雷工程的施工、通信工程施工的合同资料、</w:t>
            </w:r>
            <w:r>
              <w:rPr>
                <w:rFonts w:hint="eastAsia"/>
                <w:lang w:val="en-US" w:eastAsia="zh-CN"/>
              </w:rPr>
              <w:t>验收报告</w:t>
            </w:r>
            <w:r>
              <w:rPr>
                <w:rFonts w:hint="eastAsia"/>
              </w:rPr>
              <w:t>等，具体见</w:t>
            </w:r>
            <w:r>
              <w:rPr>
                <w:rFonts w:hint="eastAsia"/>
                <w:lang w:eastAsia="zh-CN"/>
              </w:rPr>
              <w:t>市场部</w:t>
            </w:r>
            <w:r>
              <w:rPr>
                <w:rFonts w:hint="eastAsia"/>
              </w:rPr>
              <w:t>，其认证范围处于正常经营情况。</w:t>
            </w:r>
          </w:p>
          <w:p>
            <w:pPr>
              <w:tabs>
                <w:tab w:val="left" w:pos="1080"/>
              </w:tabs>
              <w:ind w:firstLine="420" w:firstLineChars="200"/>
            </w:pPr>
            <w:r>
              <w:rPr>
                <w:rFonts w:hint="eastAsia"/>
              </w:rPr>
              <w:t>在工程部现场</w:t>
            </w:r>
            <w:r>
              <w:rPr>
                <w:rFonts w:hint="eastAsia"/>
                <w:lang w:eastAsia="zh-CN"/>
              </w:rPr>
              <w:t>（</w:t>
            </w:r>
            <w:r>
              <w:rPr>
                <w:rFonts w:hint="eastAsia"/>
                <w:lang w:val="en-US" w:eastAsia="zh-CN"/>
              </w:rPr>
              <w:t>甘肃省庆阳市华池县冉崾岘T20-18-1-6</w:t>
            </w:r>
            <w:r>
              <w:rPr>
                <w:rFonts w:hint="eastAsia"/>
                <w:lang w:eastAsia="zh-CN"/>
              </w:rPr>
              <w:t>）</w:t>
            </w:r>
            <w:r>
              <w:rPr>
                <w:rFonts w:hint="eastAsia"/>
              </w:rPr>
              <w:t>查看，工程部重要环境因素有：固废排放、潜在火灾。</w:t>
            </w:r>
          </w:p>
          <w:p>
            <w:pPr>
              <w:spacing w:line="400" w:lineRule="atLeast"/>
              <w:ind w:firstLine="420" w:firstLineChars="200"/>
            </w:pPr>
            <w:r>
              <w:rPr>
                <w:rFonts w:hint="eastAsia"/>
              </w:rPr>
              <w:t>工程部根据部门的重要环境因素，策划的环境管理制度有：《应急准备和响应管理制度》、《监视、测量、分析和评价管理制度》、《消防安全管理制度》、《火灾应急措施》等。</w:t>
            </w:r>
          </w:p>
          <w:p>
            <w:pPr>
              <w:spacing w:line="400" w:lineRule="atLeast"/>
              <w:ind w:firstLine="420" w:firstLineChars="200"/>
            </w:pPr>
            <w:r>
              <w:rPr>
                <w:rFonts w:hint="eastAsia"/>
                <w:lang w:val="en-US" w:eastAsia="zh-CN"/>
              </w:rPr>
              <w:t>视频</w:t>
            </w:r>
            <w:r>
              <w:rPr>
                <w:rFonts w:hint="eastAsia"/>
              </w:rPr>
              <w:t>查看，部门的服务内容主要有：建筑机电安装工程、电子与智能化工程、防雷工程的施工、通信工程施工服务，主要为中国石油天然气股份有限公司长庆油田分公司第十一采油厂2021年</w:t>
            </w:r>
            <w:r>
              <w:rPr>
                <w:rFonts w:hint="eastAsia"/>
                <w:lang w:val="en-US" w:eastAsia="zh-CN"/>
              </w:rPr>
              <w:t>产</w:t>
            </w:r>
            <w:r>
              <w:rPr>
                <w:rFonts w:hint="eastAsia"/>
              </w:rPr>
              <w:t>能建设油气生产物联网工程第二标段。</w:t>
            </w:r>
          </w:p>
          <w:p>
            <w:pPr>
              <w:spacing w:line="400" w:lineRule="atLeast"/>
              <w:ind w:firstLine="420" w:firstLineChars="200"/>
            </w:pPr>
            <w:r>
              <w:rPr>
                <w:rFonts w:hint="eastAsia"/>
              </w:rPr>
              <w:t>1、固废排放管理：</w:t>
            </w:r>
          </w:p>
          <w:p>
            <w:pPr>
              <w:spacing w:line="400" w:lineRule="atLeast"/>
              <w:ind w:firstLine="420" w:firstLineChars="200"/>
            </w:pPr>
            <w:r>
              <w:rPr>
                <w:rFonts w:hint="eastAsia"/>
              </w:rPr>
              <w:t>公司编制了《固体废弃物管理规定》，规定了</w:t>
            </w:r>
            <w:r>
              <w:rPr>
                <w:rFonts w:hint="eastAsia"/>
                <w:lang w:val="en-US" w:eastAsia="zh-CN"/>
              </w:rPr>
              <w:t>工程部</w:t>
            </w:r>
            <w:r>
              <w:rPr>
                <w:rFonts w:hint="eastAsia"/>
              </w:rPr>
              <w:t>实施过程固废处理的管理要求。</w:t>
            </w:r>
          </w:p>
          <w:p>
            <w:pPr>
              <w:spacing w:line="400" w:lineRule="atLeast"/>
              <w:ind w:firstLine="420" w:firstLineChars="200"/>
            </w:pPr>
            <w:r>
              <w:rPr>
                <w:rFonts w:hint="eastAsia"/>
              </w:rPr>
              <w:t>查，办公环节的主要固废为：废纸、废办公用品、以及生活垃圾等。现采取集中收集，交由环卫处理。在办公公共区域内垃圾桶标识明确。</w:t>
            </w:r>
          </w:p>
          <w:p>
            <w:pPr>
              <w:spacing w:line="400" w:lineRule="atLeast"/>
              <w:ind w:firstLine="420" w:firstLineChars="200"/>
            </w:pPr>
            <w:r>
              <w:rPr>
                <w:rFonts w:hint="eastAsia"/>
              </w:rPr>
              <w:t>建筑机电安装工程、电子与智能化工程、防雷工程的施工、通信工程施工实施过程的固废有：包装、废弃部件等。</w:t>
            </w:r>
          </w:p>
          <w:p>
            <w:pPr>
              <w:spacing w:line="400" w:lineRule="atLeast"/>
              <w:ind w:firstLine="420" w:firstLineChars="200"/>
              <w:rPr>
                <w:rFonts w:hint="eastAsia"/>
              </w:rPr>
            </w:pPr>
            <w:r>
              <w:rPr>
                <w:rFonts w:hint="eastAsia"/>
              </w:rPr>
              <w:t>现场查看，在</w:t>
            </w:r>
            <w:r>
              <w:rPr>
                <w:rFonts w:hint="eastAsia"/>
                <w:lang w:val="en-US" w:eastAsia="zh-CN"/>
              </w:rPr>
              <w:t>施工</w:t>
            </w:r>
            <w:r>
              <w:rPr>
                <w:rFonts w:hint="eastAsia"/>
              </w:rPr>
              <w:t>现场，</w:t>
            </w:r>
            <w:r>
              <w:rPr>
                <w:rFonts w:hint="eastAsia"/>
                <w:lang w:val="en-US" w:eastAsia="zh-CN"/>
              </w:rPr>
              <w:t>废弃的包装材料、废弃零件线头等</w:t>
            </w:r>
            <w:r>
              <w:rPr>
                <w:rFonts w:hint="eastAsia"/>
              </w:rPr>
              <w:t>集中存放，</w:t>
            </w:r>
            <w:r>
              <w:rPr>
                <w:rFonts w:hint="eastAsia"/>
                <w:lang w:val="en-US" w:eastAsia="zh-CN"/>
              </w:rPr>
              <w:t>交给废弃物回收单位</w:t>
            </w:r>
            <w:r>
              <w:rPr>
                <w:rFonts w:hint="eastAsia"/>
              </w:rPr>
              <w:t>处理。查处理情况，提供最近的处理记录。</w:t>
            </w:r>
          </w:p>
          <w:p>
            <w:pPr>
              <w:spacing w:line="400" w:lineRule="atLeast"/>
              <w:ind w:firstLine="420" w:firstLineChars="200"/>
            </w:pPr>
            <w:r>
              <w:rPr>
                <w:rFonts w:hint="eastAsia"/>
              </w:rPr>
              <w:t>2、火灾预防：</w:t>
            </w:r>
          </w:p>
          <w:p>
            <w:pPr>
              <w:spacing w:line="400" w:lineRule="atLeast"/>
              <w:ind w:firstLine="420" w:firstLineChars="200"/>
            </w:pPr>
            <w:r>
              <w:rPr>
                <w:rFonts w:hint="eastAsia"/>
              </w:rPr>
              <w:t>查看，公司编制了火灾预防管理规定、应急管理规定。</w:t>
            </w:r>
          </w:p>
          <w:p>
            <w:pPr>
              <w:spacing w:line="400" w:lineRule="atLeast"/>
              <w:ind w:firstLine="420" w:firstLineChars="200"/>
            </w:pPr>
            <w:r>
              <w:rPr>
                <w:rFonts w:hint="eastAsia"/>
              </w:rPr>
              <w:t>查看，</w:t>
            </w:r>
            <w:r>
              <w:rPr>
                <w:rFonts w:hint="eastAsia"/>
                <w:lang w:val="en-US" w:eastAsia="zh-CN"/>
              </w:rPr>
              <w:t>甲方井场</w:t>
            </w:r>
            <w:r>
              <w:rPr>
                <w:rFonts w:hint="eastAsia"/>
              </w:rPr>
              <w:t>共用区域、办公</w:t>
            </w:r>
            <w:r>
              <w:rPr>
                <w:rFonts w:hint="eastAsia"/>
                <w:lang w:val="en-US" w:eastAsia="zh-CN"/>
              </w:rPr>
              <w:t>区域</w:t>
            </w:r>
            <w:r>
              <w:rPr>
                <w:rFonts w:hint="eastAsia"/>
              </w:rPr>
              <w:t>设置了灭火器、</w:t>
            </w:r>
            <w:r>
              <w:rPr>
                <w:rFonts w:hint="eastAsia"/>
                <w:lang w:val="en-US" w:eastAsia="zh-CN"/>
              </w:rPr>
              <w:t>气体</w:t>
            </w:r>
            <w:r>
              <w:rPr>
                <w:rFonts w:hint="eastAsia"/>
              </w:rPr>
              <w:t>报警器等，设施状态良好。</w:t>
            </w:r>
          </w:p>
          <w:p>
            <w:pPr>
              <w:spacing w:line="400" w:lineRule="atLeast"/>
              <w:ind w:firstLine="420" w:firstLineChars="200"/>
            </w:pPr>
            <w:r>
              <w:rPr>
                <w:rFonts w:hint="eastAsia"/>
              </w:rPr>
              <w:t>现场查看,消防设施配置完整，完好。</w:t>
            </w:r>
          </w:p>
          <w:p>
            <w:pPr>
              <w:spacing w:line="400" w:lineRule="atLeast"/>
              <w:ind w:firstLine="420" w:firstLineChars="200"/>
              <w:rPr>
                <w:rFonts w:hint="eastAsia"/>
              </w:rPr>
            </w:pPr>
            <w:r>
              <w:rPr>
                <w:rFonts w:hint="eastAsia"/>
              </w:rPr>
              <w:t>公司定期参加组织的消防培训和演练，工程部主要岗位均参与。</w:t>
            </w:r>
          </w:p>
          <w:p>
            <w:pPr>
              <w:rPr>
                <w:rFonts w:hint="eastAsia"/>
              </w:rPr>
            </w:pPr>
          </w:p>
          <w:p>
            <w:pPr>
              <w:spacing w:line="400" w:lineRule="exact"/>
            </w:pPr>
            <w:r>
              <w:rPr>
                <w:rFonts w:hint="eastAsia"/>
              </w:rPr>
              <w:t>现场查看，工程部的不可接受风险为：潜在火灾、机械伤害、</w:t>
            </w:r>
            <w:r>
              <w:rPr>
                <w:rFonts w:hint="eastAsia"/>
                <w:lang w:val="en-US" w:eastAsia="zh-CN"/>
              </w:rPr>
              <w:t>高空坠落、触电</w:t>
            </w:r>
            <w:r>
              <w:rPr>
                <w:rFonts w:hint="eastAsia"/>
              </w:rPr>
              <w:t>等。</w:t>
            </w:r>
          </w:p>
          <w:p>
            <w:pPr>
              <w:spacing w:line="400" w:lineRule="exact"/>
              <w:ind w:firstLine="420" w:firstLineChars="200"/>
            </w:pPr>
            <w:r>
              <w:rPr>
                <w:rFonts w:hint="eastAsia"/>
              </w:rPr>
              <w:t>工程部制订了相关的危险源防护、管理措施，如《应急救援预案》、《设备操作规程》等：</w:t>
            </w:r>
          </w:p>
          <w:p>
            <w:pPr>
              <w:spacing w:line="400" w:lineRule="exact"/>
              <w:ind w:firstLine="420" w:firstLineChars="200"/>
            </w:pPr>
            <w:r>
              <w:rPr>
                <w:rFonts w:hint="eastAsia"/>
              </w:rPr>
              <w:t>1、触电风险管理：</w:t>
            </w:r>
          </w:p>
          <w:p>
            <w:pPr>
              <w:spacing w:line="400" w:lineRule="exact"/>
              <w:ind w:firstLine="420" w:firstLineChars="200"/>
            </w:pPr>
            <w:r>
              <w:rPr>
                <w:rFonts w:hint="eastAsia"/>
              </w:rPr>
              <w:t>现场查看，公司规定了安全供电的管理要求，所有电气设备定期进行维护，公司定期对线路、操作柄等进行安全检查，发现问题及时进行处理。同时公司对</w:t>
            </w:r>
            <w:r>
              <w:rPr>
                <w:rFonts w:hint="eastAsia"/>
                <w:lang w:val="en-US" w:eastAsia="zh-CN"/>
              </w:rPr>
              <w:t>施工</w:t>
            </w:r>
            <w:r>
              <w:rPr>
                <w:rFonts w:hint="eastAsia"/>
              </w:rPr>
              <w:t>过程的用电安全管理进行了培训。现场能提供三级安全培训记录，电工都是持证上岗。</w:t>
            </w:r>
          </w:p>
          <w:p>
            <w:pPr>
              <w:spacing w:line="400" w:lineRule="exact"/>
              <w:ind w:firstLine="420" w:firstLineChars="200"/>
              <w:rPr>
                <w:rFonts w:hint="eastAsia"/>
              </w:rPr>
            </w:pPr>
            <w:r>
              <w:rPr>
                <w:rFonts w:hint="eastAsia"/>
                <w:lang w:val="en-US" w:eastAsia="zh-CN"/>
              </w:rPr>
              <w:t>视频</w:t>
            </w:r>
            <w:r>
              <w:rPr>
                <w:rFonts w:hint="eastAsia"/>
              </w:rPr>
              <w:t>查看，维修场地的电器设备、电缆、配电设施完好，设置规范，无不符合情况。</w:t>
            </w:r>
          </w:p>
          <w:p>
            <w:pPr>
              <w:pStyle w:val="5"/>
              <w:rPr>
                <w:rFonts w:hint="eastAsia"/>
              </w:rPr>
            </w:pPr>
            <w:r>
              <w:rPr>
                <w:rFonts w:hint="eastAsia"/>
                <w:lang w:val="en-US" w:eastAsia="zh-CN"/>
              </w:rPr>
              <w:drawing>
                <wp:anchor distT="0" distB="0" distL="114300" distR="114300" simplePos="0" relativeHeight="251662336" behindDoc="0" locked="0" layoutInCell="1" allowOverlap="1">
                  <wp:simplePos x="0" y="0"/>
                  <wp:positionH relativeFrom="column">
                    <wp:posOffset>3085465</wp:posOffset>
                  </wp:positionH>
                  <wp:positionV relativeFrom="paragraph">
                    <wp:posOffset>36195</wp:posOffset>
                  </wp:positionV>
                  <wp:extent cx="3032760" cy="1922145"/>
                  <wp:effectExtent l="0" t="0" r="2540" b="8255"/>
                  <wp:wrapNone/>
                  <wp:docPr id="117" name="图片 117" descr="梁瑞锋电工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梁瑞锋电工证"/>
                          <pic:cNvPicPr>
                            <a:picLocks noChangeAspect="1"/>
                          </pic:cNvPicPr>
                        </pic:nvPicPr>
                        <pic:blipFill>
                          <a:blip r:embed="rId6"/>
                          <a:stretch>
                            <a:fillRect/>
                          </a:stretch>
                        </pic:blipFill>
                        <pic:spPr>
                          <a:xfrm>
                            <a:off x="0" y="0"/>
                            <a:ext cx="3032760" cy="1922145"/>
                          </a:xfrm>
                          <a:prstGeom prst="rect">
                            <a:avLst/>
                          </a:prstGeom>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55880</wp:posOffset>
                  </wp:positionH>
                  <wp:positionV relativeFrom="paragraph">
                    <wp:posOffset>99695</wp:posOffset>
                  </wp:positionV>
                  <wp:extent cx="2874010" cy="1832610"/>
                  <wp:effectExtent l="0" t="0" r="8890" b="8890"/>
                  <wp:wrapNone/>
                  <wp:docPr id="111" name="图片 111" descr="李耀宗电工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李耀宗电工证"/>
                          <pic:cNvPicPr>
                            <a:picLocks noChangeAspect="1"/>
                          </pic:cNvPicPr>
                        </pic:nvPicPr>
                        <pic:blipFill>
                          <a:blip r:embed="rId7"/>
                          <a:stretch>
                            <a:fillRect/>
                          </a:stretch>
                        </pic:blipFill>
                        <pic:spPr>
                          <a:xfrm>
                            <a:off x="0" y="0"/>
                            <a:ext cx="2874010" cy="1832610"/>
                          </a:xfrm>
                          <a:prstGeom prst="rect">
                            <a:avLst/>
                          </a:prstGeom>
                        </pic:spPr>
                      </pic:pic>
                    </a:graphicData>
                  </a:graphic>
                </wp:anchor>
              </w:drawing>
            </w:r>
          </w:p>
          <w:p>
            <w:pPr>
              <w:pStyle w:val="6"/>
              <w:rPr>
                <w:rFonts w:hint="eastAsia"/>
              </w:rPr>
            </w:pPr>
          </w:p>
          <w:p>
            <w:pPr>
              <w:pStyle w:val="8"/>
              <w:rPr>
                <w:rFonts w:hint="eastAsia"/>
              </w:rPr>
            </w:pPr>
          </w:p>
          <w:p>
            <w:pPr>
              <w:rPr>
                <w:rFonts w:hint="eastAsia"/>
              </w:rPr>
            </w:pPr>
          </w:p>
          <w:p>
            <w:pPr>
              <w:pStyle w:val="5"/>
              <w:rPr>
                <w:rFonts w:hint="eastAsia"/>
              </w:rPr>
            </w:pPr>
          </w:p>
          <w:p>
            <w:pPr>
              <w:pStyle w:val="6"/>
              <w:rPr>
                <w:rFonts w:hint="eastAsia"/>
              </w:rPr>
            </w:pPr>
          </w:p>
          <w:p>
            <w:pPr>
              <w:pStyle w:val="8"/>
              <w:rPr>
                <w:rFonts w:hint="eastAsia"/>
              </w:rPr>
            </w:pPr>
          </w:p>
          <w:p>
            <w:pPr>
              <w:rPr>
                <w:rFonts w:hint="eastAsia"/>
              </w:rPr>
            </w:pPr>
          </w:p>
          <w:p>
            <w:pPr>
              <w:pStyle w:val="5"/>
              <w:rPr>
                <w:rFonts w:hint="eastAsia"/>
              </w:rPr>
            </w:pPr>
          </w:p>
          <w:p>
            <w:pPr>
              <w:pStyle w:val="6"/>
              <w:rPr>
                <w:rFonts w:hint="eastAsia"/>
              </w:rPr>
            </w:pPr>
          </w:p>
          <w:p>
            <w:pPr>
              <w:spacing w:line="400" w:lineRule="exact"/>
              <w:ind w:firstLine="420" w:firstLineChars="200"/>
            </w:pPr>
            <w:r>
              <w:rPr>
                <w:rFonts w:hint="eastAsia"/>
              </w:rPr>
              <w:t>2、火灾伤害预防：</w:t>
            </w:r>
          </w:p>
          <w:p>
            <w:pPr>
              <w:spacing w:line="400" w:lineRule="atLeast"/>
              <w:ind w:firstLine="420" w:firstLineChars="200"/>
            </w:pPr>
            <w:r>
              <w:rPr>
                <w:rFonts w:hint="eastAsia"/>
              </w:rPr>
              <w:t>现场了解：公司制订了火灾预防管理规定、应急管理规定。在</w:t>
            </w:r>
            <w:r>
              <w:rPr>
                <w:rFonts w:hint="eastAsia"/>
                <w:lang w:val="en-US" w:eastAsia="zh-CN"/>
              </w:rPr>
              <w:t>井场</w:t>
            </w:r>
            <w:r>
              <w:rPr>
                <w:rFonts w:hint="eastAsia"/>
              </w:rPr>
              <w:t>、公共场所及</w:t>
            </w:r>
            <w:r>
              <w:rPr>
                <w:rFonts w:hint="eastAsia"/>
                <w:lang w:val="en-US" w:eastAsia="zh-CN"/>
              </w:rPr>
              <w:t>宿舍</w:t>
            </w:r>
            <w:r>
              <w:rPr>
                <w:rFonts w:hint="eastAsia"/>
              </w:rPr>
              <w:t>均设置了灭火器、</w:t>
            </w:r>
            <w:r>
              <w:rPr>
                <w:rFonts w:hint="eastAsia"/>
                <w:lang w:val="en-US" w:eastAsia="zh-CN"/>
              </w:rPr>
              <w:t>应急</w:t>
            </w:r>
            <w:r>
              <w:rPr>
                <w:rFonts w:hint="eastAsia"/>
              </w:rPr>
              <w:t>通道、</w:t>
            </w:r>
            <w:r>
              <w:rPr>
                <w:rFonts w:hint="eastAsia"/>
                <w:lang w:val="en-US" w:eastAsia="zh-CN"/>
              </w:rPr>
              <w:t>气体</w:t>
            </w:r>
            <w:r>
              <w:rPr>
                <w:rFonts w:hint="eastAsia"/>
              </w:rPr>
              <w:t>报警器、应急疏散指示灯等。</w:t>
            </w:r>
          </w:p>
          <w:p>
            <w:pPr>
              <w:spacing w:line="400" w:lineRule="atLeast"/>
              <w:ind w:firstLine="420" w:firstLineChars="200"/>
            </w:pPr>
            <w:r>
              <w:rPr>
                <w:rFonts w:hint="eastAsia"/>
              </w:rPr>
              <w:t>查，工程部员工定期参加行政部的消防、应急、逃生培训和演习。</w:t>
            </w:r>
          </w:p>
          <w:p>
            <w:pPr>
              <w:spacing w:line="400" w:lineRule="atLeast"/>
              <w:ind w:firstLine="420" w:firstLineChars="200"/>
              <w:rPr>
                <w:rFonts w:hint="eastAsia"/>
              </w:rPr>
            </w:pPr>
            <w:r>
              <w:rPr>
                <w:rFonts w:hint="eastAsia"/>
                <w:lang w:val="en-US" w:eastAsia="zh-CN"/>
              </w:rPr>
              <w:t>视频</w:t>
            </w:r>
            <w:r>
              <w:rPr>
                <w:rFonts w:hint="eastAsia"/>
              </w:rPr>
              <w:t>查看，</w:t>
            </w:r>
            <w:r>
              <w:rPr>
                <w:rFonts w:hint="eastAsia"/>
                <w:lang w:val="en-US" w:eastAsia="zh-CN"/>
              </w:rPr>
              <w:t>施工现场的可燃气体报警设备，指示灯显示正常</w:t>
            </w:r>
            <w:r>
              <w:rPr>
                <w:rFonts w:hint="eastAsia"/>
              </w:rPr>
              <w:t>。</w:t>
            </w:r>
          </w:p>
          <w:p>
            <w:pPr>
              <w:spacing w:line="400" w:lineRule="atLeast"/>
              <w:ind w:firstLine="420" w:firstLineChars="200"/>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1816100</wp:posOffset>
                  </wp:positionH>
                  <wp:positionV relativeFrom="paragraph">
                    <wp:posOffset>144145</wp:posOffset>
                  </wp:positionV>
                  <wp:extent cx="1757045" cy="2272030"/>
                  <wp:effectExtent l="0" t="0" r="8255" b="1270"/>
                  <wp:wrapNone/>
                  <wp:docPr id="46" name="图片 46" descr="46fa5bd745659970a6d1f51ec508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6fa5bd745659970a6d1f51ec508a07"/>
                          <pic:cNvPicPr>
                            <a:picLocks noChangeAspect="1"/>
                          </pic:cNvPicPr>
                        </pic:nvPicPr>
                        <pic:blipFill>
                          <a:blip r:embed="rId8"/>
                          <a:srcRect t="17517" b="22772"/>
                          <a:stretch>
                            <a:fillRect/>
                          </a:stretch>
                        </pic:blipFill>
                        <pic:spPr>
                          <a:xfrm>
                            <a:off x="0" y="0"/>
                            <a:ext cx="1757045" cy="2272030"/>
                          </a:xfrm>
                          <a:prstGeom prst="rect">
                            <a:avLst/>
                          </a:prstGeom>
                        </pic:spPr>
                      </pic:pic>
                    </a:graphicData>
                  </a:graphic>
                </wp:anchor>
              </w:drawing>
            </w:r>
            <w:r>
              <w:rPr>
                <w:rFonts w:hint="eastAsia"/>
                <w:lang w:eastAsia="zh-CN"/>
              </w:rPr>
              <w:drawing>
                <wp:anchor distT="0" distB="0" distL="114300" distR="114300" simplePos="0" relativeHeight="251665408" behindDoc="0" locked="0" layoutInCell="1" allowOverlap="1">
                  <wp:simplePos x="0" y="0"/>
                  <wp:positionH relativeFrom="column">
                    <wp:posOffset>57150</wp:posOffset>
                  </wp:positionH>
                  <wp:positionV relativeFrom="paragraph">
                    <wp:posOffset>124460</wp:posOffset>
                  </wp:positionV>
                  <wp:extent cx="1630045" cy="2316480"/>
                  <wp:effectExtent l="0" t="0" r="8255" b="7620"/>
                  <wp:wrapNone/>
                  <wp:docPr id="45" name="图片 45" descr="cfb7998017f5e358dca62c7213b3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fb7998017f5e358dca62c7213b35f4"/>
                          <pic:cNvPicPr>
                            <a:picLocks noChangeAspect="1"/>
                          </pic:cNvPicPr>
                        </pic:nvPicPr>
                        <pic:blipFill>
                          <a:blip r:embed="rId9"/>
                          <a:srcRect t="23390" b="10975"/>
                          <a:stretch>
                            <a:fillRect/>
                          </a:stretch>
                        </pic:blipFill>
                        <pic:spPr>
                          <a:xfrm>
                            <a:off x="0" y="0"/>
                            <a:ext cx="1630045" cy="2316480"/>
                          </a:xfrm>
                          <a:prstGeom prst="rect">
                            <a:avLst/>
                          </a:prstGeom>
                        </pic:spPr>
                      </pic:pic>
                    </a:graphicData>
                  </a:graphic>
                </wp:anchor>
              </w:drawing>
            </w:r>
          </w:p>
          <w:p>
            <w:pPr>
              <w:pStyle w:val="5"/>
              <w:rPr>
                <w:rFonts w:hint="eastAsia"/>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3644900</wp:posOffset>
                  </wp:positionH>
                  <wp:positionV relativeFrom="paragraph">
                    <wp:posOffset>67945</wp:posOffset>
                  </wp:positionV>
                  <wp:extent cx="2558415" cy="1918970"/>
                  <wp:effectExtent l="0" t="0" r="6985" b="11430"/>
                  <wp:wrapNone/>
                  <wp:docPr id="47" name="图片 47" descr="ef5aa0b784e8781ae8e2ad4b0a82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f5aa0b784e8781ae8e2ad4b0a8285f"/>
                          <pic:cNvPicPr>
                            <a:picLocks noChangeAspect="1"/>
                          </pic:cNvPicPr>
                        </pic:nvPicPr>
                        <pic:blipFill>
                          <a:blip r:embed="rId10"/>
                          <a:stretch>
                            <a:fillRect/>
                          </a:stretch>
                        </pic:blipFill>
                        <pic:spPr>
                          <a:xfrm>
                            <a:off x="0" y="0"/>
                            <a:ext cx="2558415" cy="1918970"/>
                          </a:xfrm>
                          <a:prstGeom prst="rect">
                            <a:avLst/>
                          </a:prstGeom>
                        </pic:spPr>
                      </pic:pic>
                    </a:graphicData>
                  </a:graphic>
                </wp:anchor>
              </w:drawing>
            </w:r>
          </w:p>
          <w:p>
            <w:pPr>
              <w:pStyle w:val="6"/>
              <w:rPr>
                <w:rFonts w:hint="eastAsia"/>
                <w:lang w:eastAsia="zh-CN"/>
              </w:rPr>
            </w:pPr>
          </w:p>
          <w:p>
            <w:pPr>
              <w:pStyle w:val="5"/>
              <w:rPr>
                <w:rFonts w:hint="eastAsia"/>
                <w:lang w:eastAsia="zh-CN"/>
              </w:rPr>
            </w:pPr>
          </w:p>
          <w:p>
            <w:pPr>
              <w:pStyle w:val="6"/>
              <w:rPr>
                <w:rFonts w:hint="eastAsia"/>
                <w:lang w:eastAsia="zh-CN"/>
              </w:rPr>
            </w:pPr>
          </w:p>
          <w:p>
            <w:pPr>
              <w:pStyle w:val="8"/>
              <w:rPr>
                <w:rFonts w:hint="eastAsia"/>
                <w:lang w:eastAsia="zh-CN"/>
              </w:rPr>
            </w:pPr>
          </w:p>
          <w:p>
            <w:pPr>
              <w:rPr>
                <w:rFonts w:hint="eastAsia"/>
                <w:lang w:eastAsia="zh-CN"/>
              </w:rPr>
            </w:pPr>
          </w:p>
          <w:p>
            <w:pPr>
              <w:pStyle w:val="5"/>
              <w:rPr>
                <w:rFonts w:hint="eastAsia"/>
                <w:lang w:eastAsia="zh-CN"/>
              </w:rPr>
            </w:pPr>
          </w:p>
          <w:p>
            <w:pPr>
              <w:pStyle w:val="6"/>
              <w:rPr>
                <w:rFonts w:hint="eastAsia"/>
                <w:lang w:eastAsia="zh-CN"/>
              </w:rPr>
            </w:pPr>
          </w:p>
          <w:p>
            <w:pPr>
              <w:pStyle w:val="8"/>
              <w:rPr>
                <w:rFonts w:hint="eastAsia"/>
                <w:lang w:eastAsia="zh-CN"/>
              </w:rPr>
            </w:pPr>
          </w:p>
          <w:p>
            <w:pPr>
              <w:rPr>
                <w:rFonts w:hint="eastAsia"/>
                <w:lang w:eastAsia="zh-CN"/>
              </w:rPr>
            </w:pPr>
          </w:p>
          <w:p>
            <w:pPr>
              <w:spacing w:line="400" w:lineRule="atLeast"/>
              <w:ind w:firstLine="420" w:firstLineChars="200"/>
            </w:pPr>
            <w:r>
              <w:rPr>
                <w:rFonts w:hint="eastAsia"/>
              </w:rPr>
              <w:t>现场查看，火灾伤害预防管理基本符合要求。</w:t>
            </w:r>
          </w:p>
          <w:p>
            <w:pPr>
              <w:spacing w:line="400" w:lineRule="exact"/>
              <w:ind w:firstLine="420" w:firstLineChars="200"/>
            </w:pPr>
            <w:r>
              <w:rPr>
                <w:rFonts w:hint="eastAsia"/>
              </w:rPr>
              <w:t>3、机械伤害管理：</w:t>
            </w:r>
          </w:p>
          <w:p>
            <w:pPr>
              <w:spacing w:line="400" w:lineRule="atLeast"/>
              <w:ind w:firstLine="420" w:firstLineChars="200"/>
            </w:pPr>
            <w:r>
              <w:rPr>
                <w:rFonts w:hint="eastAsia"/>
              </w:rPr>
              <w:t>现场了解：公司制订了人员防护管理规定、应急管理规定。</w:t>
            </w:r>
          </w:p>
          <w:p>
            <w:pPr>
              <w:spacing w:line="400" w:lineRule="atLeast"/>
              <w:ind w:firstLine="420" w:firstLineChars="200"/>
            </w:pPr>
            <w:r>
              <w:rPr>
                <w:rFonts w:hint="eastAsia"/>
              </w:rPr>
              <w:t>查，工程部员工定期参加操作规程的培训。</w:t>
            </w:r>
          </w:p>
          <w:p>
            <w:pPr>
              <w:spacing w:line="400" w:lineRule="atLeast"/>
              <w:ind w:firstLine="420" w:firstLineChars="200"/>
            </w:pPr>
            <w:r>
              <w:rPr>
                <w:rFonts w:hint="eastAsia"/>
              </w:rPr>
              <w:t>现场查看，员工操作符合要求。</w:t>
            </w:r>
          </w:p>
          <w:p>
            <w:pPr>
              <w:spacing w:line="400" w:lineRule="atLeast"/>
              <w:ind w:firstLine="420" w:firstLineChars="200"/>
            </w:pPr>
            <w:r>
              <w:rPr>
                <w:rFonts w:hint="eastAsia"/>
              </w:rPr>
              <w:t>现场查看，配置了必备的应急药品，如创口贴、急救包等。</w:t>
            </w:r>
          </w:p>
          <w:p>
            <w:pPr>
              <w:spacing w:line="400" w:lineRule="atLeast"/>
              <w:ind w:firstLine="420" w:firstLineChars="200"/>
              <w:rPr>
                <w:rFonts w:hint="eastAsia"/>
                <w:lang w:eastAsia="zh-CN"/>
              </w:rPr>
            </w:pPr>
            <w:r>
              <w:rPr>
                <w:rFonts w:hint="eastAsia"/>
              </w:rPr>
              <w:t>在</w:t>
            </w:r>
            <w:r>
              <w:rPr>
                <w:rFonts w:hint="eastAsia"/>
                <w:lang w:val="en-US" w:eastAsia="zh-CN"/>
              </w:rPr>
              <w:t>施工</w:t>
            </w:r>
            <w:r>
              <w:rPr>
                <w:rFonts w:hint="eastAsia"/>
              </w:rPr>
              <w:t>现场，维修处设置有安全警示标识</w:t>
            </w:r>
            <w:r>
              <w:rPr>
                <w:rFonts w:hint="eastAsia"/>
                <w:lang w:eastAsia="zh-CN"/>
              </w:rPr>
              <w:t>。</w:t>
            </w:r>
          </w:p>
          <w:p>
            <w:pPr>
              <w:spacing w:line="400" w:lineRule="exact"/>
              <w:ind w:firstLine="420" w:firstLineChars="200"/>
            </w:pPr>
            <w:r>
              <w:rPr>
                <w:rFonts w:hint="eastAsia"/>
              </w:rPr>
              <w:t>4、查现场</w:t>
            </w:r>
            <w:r>
              <w:rPr>
                <w:rFonts w:hint="eastAsia"/>
                <w:lang w:val="en-US" w:eastAsia="zh-CN"/>
              </w:rPr>
              <w:t>高空坠落</w:t>
            </w:r>
            <w:r>
              <w:rPr>
                <w:rFonts w:hint="eastAsia"/>
              </w:rPr>
              <w:t>管理：</w:t>
            </w:r>
          </w:p>
          <w:p>
            <w:pPr>
              <w:ind w:firstLine="420" w:firstLineChars="200"/>
              <w:rPr>
                <w:rFonts w:hint="default" w:eastAsia="宋体"/>
                <w:lang w:val="en-US" w:eastAsia="zh-CN"/>
              </w:rPr>
            </w:pPr>
            <w:r>
              <w:rPr>
                <w:rFonts w:hint="eastAsia"/>
              </w:rPr>
              <w:t>主要为</w:t>
            </w:r>
            <w:r>
              <w:rPr>
                <w:rFonts w:hint="eastAsia"/>
                <w:lang w:val="en-US" w:eastAsia="zh-CN"/>
              </w:rPr>
              <w:t>电杆高处作业</w:t>
            </w:r>
            <w:r>
              <w:rPr>
                <w:rFonts w:hint="eastAsia"/>
              </w:rPr>
              <w:t>。</w:t>
            </w:r>
            <w:r>
              <w:rPr>
                <w:rFonts w:hint="eastAsia"/>
                <w:lang w:val="en-US" w:eastAsia="zh-CN"/>
              </w:rPr>
              <w:t>制定了高空坠落管理方案，现场查看施工员高处作业时佩戴了安全帽、安全绳等防护用具</w:t>
            </w:r>
            <w:r>
              <w:rPr>
                <w:rFonts w:hint="eastAsia"/>
              </w:rPr>
              <w:t>。</w:t>
            </w:r>
            <w:r>
              <w:rPr>
                <w:rFonts w:hint="eastAsia"/>
                <w:lang w:val="en-US" w:eastAsia="zh-CN"/>
              </w:rPr>
              <w:t>查员工李耀宗、</w:t>
            </w:r>
            <w:r>
              <w:rPr>
                <w:rFonts w:hint="eastAsia"/>
                <w:lang w:eastAsia="zh-CN"/>
              </w:rPr>
              <w:t>梁瑞锋、赵永永</w:t>
            </w:r>
          </w:p>
          <w:p>
            <w:pPr>
              <w:pStyle w:val="5"/>
              <w:rPr>
                <w:rFonts w:hint="eastAsia"/>
              </w:rPr>
            </w:pPr>
            <w:r>
              <w:rPr>
                <w:rFonts w:hint="eastAsia" w:ascii="宋体" w:hAnsi="宋体" w:eastAsia="宋体" w:cs="宋体"/>
                <w:sz w:val="21"/>
                <w:szCs w:val="21"/>
                <w:lang w:val="en-US" w:eastAsia="zh-CN"/>
              </w:rPr>
              <w:drawing>
                <wp:anchor distT="0" distB="0" distL="114300" distR="114300" simplePos="0" relativeHeight="251663360" behindDoc="0" locked="0" layoutInCell="1" allowOverlap="1">
                  <wp:simplePos x="0" y="0"/>
                  <wp:positionH relativeFrom="column">
                    <wp:posOffset>3136265</wp:posOffset>
                  </wp:positionH>
                  <wp:positionV relativeFrom="paragraph">
                    <wp:posOffset>13335</wp:posOffset>
                  </wp:positionV>
                  <wp:extent cx="2559050" cy="1617980"/>
                  <wp:effectExtent l="0" t="0" r="6350" b="7620"/>
                  <wp:wrapNone/>
                  <wp:docPr id="116" name="图片 116" descr="梁瑞锋登高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梁瑞锋登高证"/>
                          <pic:cNvPicPr>
                            <a:picLocks noChangeAspect="1"/>
                          </pic:cNvPicPr>
                        </pic:nvPicPr>
                        <pic:blipFill>
                          <a:blip r:embed="rId11"/>
                          <a:stretch>
                            <a:fillRect/>
                          </a:stretch>
                        </pic:blipFill>
                        <pic:spPr>
                          <a:xfrm>
                            <a:off x="0" y="0"/>
                            <a:ext cx="2559050" cy="1617980"/>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217805</wp:posOffset>
                  </wp:positionH>
                  <wp:positionV relativeFrom="paragraph">
                    <wp:posOffset>26670</wp:posOffset>
                  </wp:positionV>
                  <wp:extent cx="2557145" cy="1624965"/>
                  <wp:effectExtent l="0" t="0" r="8255" b="635"/>
                  <wp:wrapNone/>
                  <wp:docPr id="110" name="图片 110" descr="李耀宗登高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李耀宗登高证"/>
                          <pic:cNvPicPr>
                            <a:picLocks noChangeAspect="1"/>
                          </pic:cNvPicPr>
                        </pic:nvPicPr>
                        <pic:blipFill>
                          <a:blip r:embed="rId12"/>
                          <a:stretch>
                            <a:fillRect/>
                          </a:stretch>
                        </pic:blipFill>
                        <pic:spPr>
                          <a:xfrm>
                            <a:off x="0" y="0"/>
                            <a:ext cx="2557145" cy="1624965"/>
                          </a:xfrm>
                          <a:prstGeom prst="rect">
                            <a:avLst/>
                          </a:prstGeom>
                        </pic:spPr>
                      </pic:pic>
                    </a:graphicData>
                  </a:graphic>
                </wp:anchor>
              </w:drawing>
            </w:r>
          </w:p>
          <w:p>
            <w:pPr>
              <w:pStyle w:val="6"/>
              <w:rPr>
                <w:rFonts w:hint="eastAsia"/>
              </w:rPr>
            </w:pPr>
          </w:p>
          <w:p>
            <w:pPr>
              <w:pStyle w:val="8"/>
              <w:rPr>
                <w:rFonts w:hint="eastAsia"/>
              </w:rPr>
            </w:pPr>
          </w:p>
          <w:p>
            <w:pPr>
              <w:rPr>
                <w:rFonts w:hint="eastAsia"/>
              </w:rPr>
            </w:pPr>
          </w:p>
          <w:p>
            <w:pPr>
              <w:pStyle w:val="5"/>
              <w:rPr>
                <w:rFonts w:hint="eastAsia"/>
              </w:rPr>
            </w:pPr>
          </w:p>
          <w:p>
            <w:pPr>
              <w:pStyle w:val="6"/>
              <w:rPr>
                <w:rFonts w:hint="eastAsia"/>
              </w:rPr>
            </w:pPr>
          </w:p>
          <w:p>
            <w:pPr>
              <w:pStyle w:val="8"/>
              <w:rPr>
                <w:rFonts w:hint="eastAsia"/>
              </w:rPr>
            </w:pPr>
          </w:p>
          <w:p>
            <w:pPr>
              <w:rPr>
                <w:rFonts w:hint="eastAsia"/>
              </w:rPr>
            </w:pPr>
          </w:p>
          <w:p>
            <w:pPr>
              <w:pStyle w:val="5"/>
              <w:rPr>
                <w:rFonts w:hint="eastAsia"/>
              </w:rPr>
            </w:pPr>
            <w:r>
              <w:rPr>
                <w:rFonts w:hint="eastAsia" w:ascii="宋体" w:hAnsi="宋体" w:eastAsia="宋体" w:cs="宋体"/>
                <w:sz w:val="21"/>
                <w:szCs w:val="21"/>
                <w:lang w:val="en-US" w:eastAsia="zh-CN"/>
              </w:rPr>
              <w:drawing>
                <wp:anchor distT="0" distB="0" distL="114300" distR="114300" simplePos="0" relativeHeight="251664384" behindDoc="0" locked="0" layoutInCell="1" allowOverlap="1">
                  <wp:simplePos x="0" y="0"/>
                  <wp:positionH relativeFrom="column">
                    <wp:posOffset>165100</wp:posOffset>
                  </wp:positionH>
                  <wp:positionV relativeFrom="paragraph">
                    <wp:posOffset>104140</wp:posOffset>
                  </wp:positionV>
                  <wp:extent cx="2699385" cy="1704975"/>
                  <wp:effectExtent l="0" t="0" r="5715" b="9525"/>
                  <wp:wrapNone/>
                  <wp:docPr id="119" name="图片 119" descr="赵永永登高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赵永永登高证"/>
                          <pic:cNvPicPr>
                            <a:picLocks noChangeAspect="1"/>
                          </pic:cNvPicPr>
                        </pic:nvPicPr>
                        <pic:blipFill>
                          <a:blip r:embed="rId13"/>
                          <a:stretch>
                            <a:fillRect/>
                          </a:stretch>
                        </pic:blipFill>
                        <pic:spPr>
                          <a:xfrm>
                            <a:off x="0" y="0"/>
                            <a:ext cx="2699385" cy="1704975"/>
                          </a:xfrm>
                          <a:prstGeom prst="rect">
                            <a:avLst/>
                          </a:prstGeom>
                        </pic:spPr>
                      </pic:pic>
                    </a:graphicData>
                  </a:graphic>
                </wp:anchor>
              </w:drawing>
            </w:r>
          </w:p>
          <w:p>
            <w:pPr>
              <w:pStyle w:val="5"/>
              <w:rPr>
                <w:rFonts w:hint="eastAsia"/>
              </w:rPr>
            </w:pPr>
          </w:p>
          <w:p>
            <w:pPr>
              <w:pStyle w:val="5"/>
              <w:rPr>
                <w:rFonts w:hint="eastAsia"/>
              </w:rPr>
            </w:pPr>
          </w:p>
          <w:p>
            <w:pPr>
              <w:pStyle w:val="5"/>
              <w:rPr>
                <w:rFonts w:hint="eastAsia"/>
              </w:rPr>
            </w:pPr>
          </w:p>
          <w:p>
            <w:pPr>
              <w:pStyle w:val="6"/>
              <w:rPr>
                <w:rFonts w:hint="eastAsia"/>
              </w:rPr>
            </w:pPr>
          </w:p>
          <w:p>
            <w:pPr>
              <w:pStyle w:val="8"/>
              <w:rPr>
                <w:rFonts w:hint="eastAsia"/>
              </w:rPr>
            </w:pPr>
          </w:p>
          <w:p>
            <w:pPr>
              <w:rPr>
                <w:rFonts w:hint="eastAsia"/>
              </w:rPr>
            </w:pPr>
          </w:p>
          <w:p>
            <w:pPr>
              <w:pStyle w:val="6"/>
              <w:ind w:left="0" w:leftChars="0" w:firstLine="0" w:firstLineChars="0"/>
              <w:rPr>
                <w:rFonts w:hint="eastAsia"/>
                <w:lang w:val="en-US" w:eastAsia="zh-CN"/>
              </w:rPr>
            </w:pPr>
          </w:p>
        </w:tc>
        <w:tc>
          <w:tcPr>
            <w:tcW w:w="1585" w:type="dxa"/>
          </w:tcPr>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pPr>
          </w:p>
          <w:p>
            <w:pPr>
              <w:pStyle w:val="6"/>
            </w:pPr>
          </w:p>
          <w:p>
            <w:pPr>
              <w:pStyle w:val="8"/>
            </w:pPr>
          </w:p>
          <w:p/>
          <w:p>
            <w:pPr>
              <w:pStyle w:val="5"/>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highlight w:val="none"/>
                <w:lang w:val="en-US" w:eastAsia="zh-CN"/>
              </w:rPr>
              <w:t>应急准备和响应</w:t>
            </w:r>
          </w:p>
        </w:tc>
        <w:tc>
          <w:tcPr>
            <w:tcW w:w="960" w:type="dxa"/>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EO8.2</w:t>
            </w:r>
          </w:p>
        </w:tc>
        <w:tc>
          <w:tcPr>
            <w:tcW w:w="10004" w:type="dxa"/>
            <w:vAlign w:val="top"/>
          </w:tcPr>
          <w:p>
            <w:pPr>
              <w:rPr>
                <w:rFonts w:hint="eastAsia"/>
                <w:lang w:val="en-US" w:eastAsia="zh-CN"/>
              </w:rPr>
            </w:pPr>
            <w:r>
              <w:rPr>
                <w:rFonts w:hint="eastAsia"/>
                <w:lang w:val="en-US" w:eastAsia="zh-CN"/>
              </w:rPr>
              <w:t>编制了</w:t>
            </w:r>
            <w:r>
              <w:rPr>
                <w:rFonts w:hint="eastAsia"/>
              </w:rPr>
              <w:t>应急准备和响应控制</w:t>
            </w:r>
            <w:r>
              <w:rPr>
                <w:rFonts w:hint="eastAsia"/>
                <w:lang w:val="en-US" w:eastAsia="zh-CN"/>
              </w:rPr>
              <w:t>程序，</w:t>
            </w:r>
          </w:p>
          <w:p>
            <w:pPr>
              <w:jc w:val="left"/>
              <w:rPr>
                <w:rFonts w:hint="eastAsia"/>
                <w:lang w:val="en-US" w:eastAsia="zh-CN"/>
              </w:rPr>
            </w:pPr>
            <w:r>
              <w:rPr>
                <w:rFonts w:hint="eastAsia"/>
                <w:lang w:val="en-US" w:eastAsia="zh-CN"/>
              </w:rPr>
              <w:t>提供火灾应急事故预案；施工现场高处坠落、机械伤害、物体打击应急救援预案；触电事故应急等，预案包括：应急目的、内容职责、应急响应流程等。</w:t>
            </w:r>
          </w:p>
          <w:p>
            <w:pPr>
              <w:rPr>
                <w:rFonts w:hint="eastAsia"/>
                <w:lang w:val="en-US" w:eastAsia="zh-CN"/>
              </w:rPr>
            </w:pPr>
            <w:r>
              <w:rPr>
                <w:rFonts w:hint="eastAsia"/>
                <w:lang w:val="en-US" w:eastAsia="zh-CN"/>
              </w:rPr>
              <w:t>抽查：</w:t>
            </w:r>
          </w:p>
          <w:p>
            <w:pPr>
              <w:rPr>
                <w:rFonts w:hint="eastAsia"/>
                <w:lang w:val="en-US" w:eastAsia="zh-CN"/>
              </w:rPr>
            </w:pPr>
            <w:r>
              <w:rPr>
                <w:rFonts w:hint="eastAsia"/>
                <w:lang w:val="en-US" w:eastAsia="zh-CN"/>
              </w:rPr>
              <w:t>应急演练（火灾）记录，演练时间</w:t>
            </w:r>
            <w:r>
              <w:rPr>
                <w:rFonts w:hint="eastAsia" w:ascii="Times New Roman" w:hAnsi="Times New Roman" w:eastAsia="宋体" w:cs="Times New Roman"/>
                <w:szCs w:val="22"/>
              </w:rPr>
              <w:t>202</w:t>
            </w:r>
            <w:r>
              <w:rPr>
                <w:rFonts w:hint="eastAsia" w:cs="Times New Roman"/>
                <w:szCs w:val="22"/>
                <w:lang w:val="en-US" w:eastAsia="zh-CN"/>
              </w:rPr>
              <w:t>1</w:t>
            </w:r>
            <w:r>
              <w:rPr>
                <w:rFonts w:hint="eastAsia" w:ascii="Times New Roman" w:hAnsi="Times New Roman" w:eastAsia="宋体" w:cs="Times New Roman"/>
                <w:szCs w:val="22"/>
              </w:rPr>
              <w:t>年9月1</w:t>
            </w:r>
            <w:r>
              <w:rPr>
                <w:rFonts w:hint="eastAsia" w:cs="Times New Roman"/>
                <w:szCs w:val="22"/>
                <w:lang w:val="en-US" w:eastAsia="zh-CN"/>
              </w:rPr>
              <w:t>8</w:t>
            </w:r>
            <w:r>
              <w:rPr>
                <w:rFonts w:hint="eastAsia" w:ascii="Times New Roman" w:hAnsi="Times New Roman" w:eastAsia="宋体" w:cs="Times New Roman"/>
                <w:szCs w:val="22"/>
              </w:rPr>
              <w:t>日下午3点</w:t>
            </w:r>
            <w:r>
              <w:rPr>
                <w:rFonts w:hint="eastAsia"/>
                <w:lang w:val="en-US" w:eastAsia="zh-CN"/>
              </w:rPr>
              <w:t>，指挥人员：周东福，</w:t>
            </w:r>
          </w:p>
          <w:p>
            <w:pPr>
              <w:rPr>
                <w:rFonts w:hint="eastAsia"/>
                <w:lang w:val="en-US" w:eastAsia="zh-CN"/>
              </w:rPr>
            </w:pPr>
            <w:r>
              <w:rPr>
                <w:rFonts w:hint="eastAsia"/>
                <w:lang w:val="en-US" w:eastAsia="zh-CN"/>
              </w:rPr>
              <w:t>参加人员：综合部、工程部、市场部共计25人</w:t>
            </w:r>
          </w:p>
          <w:p>
            <w:pPr>
              <w:rPr>
                <w:rFonts w:hint="eastAsia"/>
                <w:lang w:val="en-US" w:eastAsia="zh-CN"/>
              </w:rPr>
            </w:pPr>
            <w:r>
              <w:rPr>
                <w:rFonts w:hint="eastAsia"/>
                <w:lang w:val="en-US" w:eastAsia="zh-CN"/>
              </w:rPr>
              <w:t>消防器材：灭火器6瓶、消防水带3卷、斧头1把、枪头2个、三分头1个、扳手、消防服装（2套）、水鞋2双，</w:t>
            </w:r>
          </w:p>
          <w:p>
            <w:pPr>
              <w:rPr>
                <w:rFonts w:hint="eastAsia"/>
                <w:lang w:val="en-US" w:eastAsia="zh-CN"/>
              </w:rPr>
            </w:pPr>
            <w:r>
              <w:rPr>
                <w:rFonts w:hint="eastAsia"/>
                <w:lang w:val="en-US" w:eastAsia="zh-CN"/>
              </w:rPr>
              <w:t>有演习情况记录和</w:t>
            </w:r>
            <w:r>
              <w:rPr>
                <w:rFonts w:hint="eastAsia" w:ascii="Times New Roman" w:hAnsi="Times New Roman" w:cs="Times New Roman"/>
                <w:szCs w:val="22"/>
                <w:lang w:val="en-US" w:eastAsia="zh-CN"/>
              </w:rPr>
              <w:t>总结，并对演练预案进行了评估，满足应急预案。</w:t>
            </w:r>
          </w:p>
          <w:p>
            <w:pPr>
              <w:pStyle w:val="2"/>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另查：</w:t>
            </w:r>
            <w:r>
              <w:rPr>
                <w:rFonts w:hint="eastAsia" w:ascii="Times New Roman" w:hAnsi="Times New Roman" w:eastAsia="宋体" w:cs="Times New Roman"/>
                <w:szCs w:val="22"/>
              </w:rPr>
              <w:t>202</w:t>
            </w:r>
            <w:r>
              <w:rPr>
                <w:rFonts w:hint="eastAsia" w:cs="Times New Roman"/>
                <w:szCs w:val="22"/>
                <w:lang w:val="en-US" w:eastAsia="zh-CN"/>
              </w:rPr>
              <w:t>1</w:t>
            </w:r>
            <w:r>
              <w:rPr>
                <w:rFonts w:hint="eastAsia" w:ascii="Times New Roman" w:hAnsi="Times New Roman" w:eastAsia="宋体" w:cs="Times New Roman"/>
                <w:szCs w:val="22"/>
              </w:rPr>
              <w:t>年9月1</w:t>
            </w:r>
            <w:r>
              <w:rPr>
                <w:rFonts w:hint="eastAsia" w:cs="Times New Roman"/>
                <w:szCs w:val="22"/>
                <w:lang w:val="en-US" w:eastAsia="zh-CN"/>
              </w:rPr>
              <w:t>9</w:t>
            </w:r>
            <w:r>
              <w:rPr>
                <w:rFonts w:hint="eastAsia" w:ascii="Times New Roman" w:hAnsi="Times New Roman" w:eastAsia="宋体" w:cs="Times New Roman"/>
                <w:szCs w:val="22"/>
              </w:rPr>
              <w:t>日</w:t>
            </w:r>
            <w:r>
              <w:rPr>
                <w:rFonts w:hint="eastAsia" w:ascii="Times New Roman" w:hAnsi="Times New Roman" w:eastAsia="宋体" w:cs="Times New Roman"/>
                <w:bCs w:val="0"/>
                <w:spacing w:val="0"/>
                <w:kern w:val="2"/>
                <w:sz w:val="21"/>
                <w:szCs w:val="22"/>
                <w:lang w:val="en-US" w:eastAsia="zh-CN" w:bidi="ar-SA"/>
              </w:rPr>
              <w:t>触电应急</w:t>
            </w:r>
            <w:r>
              <w:rPr>
                <w:rFonts w:hint="eastAsia" w:ascii="Times New Roman" w:hAnsi="Times New Roman" w:cs="Times New Roman"/>
                <w:bCs w:val="0"/>
                <w:spacing w:val="0"/>
                <w:kern w:val="2"/>
                <w:sz w:val="21"/>
                <w:szCs w:val="22"/>
                <w:lang w:val="en-US" w:eastAsia="zh-CN" w:bidi="ar-SA"/>
              </w:rPr>
              <w:t>演练</w:t>
            </w:r>
            <w:r>
              <w:rPr>
                <w:rFonts w:hint="eastAsia" w:ascii="Times New Roman" w:hAnsi="Times New Roman" w:eastAsia="宋体" w:cs="Times New Roman"/>
                <w:bCs w:val="0"/>
                <w:spacing w:val="0"/>
                <w:kern w:val="2"/>
                <w:sz w:val="21"/>
                <w:szCs w:val="22"/>
                <w:lang w:val="en-US" w:eastAsia="zh-CN" w:bidi="ar-SA"/>
              </w:rPr>
              <w:t>，</w:t>
            </w:r>
            <w:r>
              <w:rPr>
                <w:rFonts w:hint="eastAsia"/>
                <w:lang w:val="en-US" w:eastAsia="zh-CN"/>
              </w:rPr>
              <w:t>指挥人员：周东福</w:t>
            </w:r>
            <w:r>
              <w:rPr>
                <w:rFonts w:hint="eastAsia" w:ascii="Times New Roman" w:hAnsi="Times New Roman" w:eastAsia="宋体" w:cs="Times New Roman"/>
                <w:bCs w:val="0"/>
                <w:spacing w:val="0"/>
                <w:kern w:val="2"/>
                <w:sz w:val="21"/>
                <w:szCs w:val="22"/>
                <w:lang w:val="en-US" w:eastAsia="zh-CN" w:bidi="ar-SA"/>
              </w:rPr>
              <w:t>，演练</w:t>
            </w:r>
            <w:r>
              <w:rPr>
                <w:rFonts w:hint="eastAsia" w:ascii="Times New Roman" w:hAnsi="Times New Roman" w:cs="Times New Roman"/>
                <w:bCs w:val="0"/>
                <w:spacing w:val="0"/>
                <w:kern w:val="2"/>
                <w:sz w:val="21"/>
                <w:szCs w:val="22"/>
                <w:lang w:val="en-US" w:eastAsia="zh-CN" w:bidi="ar-SA"/>
              </w:rPr>
              <w:t>结论：</w:t>
            </w:r>
            <w:r>
              <w:rPr>
                <w:rFonts w:hint="eastAsia" w:ascii="Times New Roman" w:hAnsi="Times New Roman" w:eastAsia="宋体" w:cs="Times New Roman"/>
                <w:bCs w:val="0"/>
                <w:spacing w:val="0"/>
                <w:kern w:val="2"/>
                <w:sz w:val="21"/>
                <w:szCs w:val="22"/>
                <w:lang w:val="en-US" w:eastAsia="zh-CN" w:bidi="ar-SA"/>
              </w:rPr>
              <w:t>基本达到演练目的。</w:t>
            </w:r>
          </w:p>
          <w:p>
            <w:pPr>
              <w:pStyle w:val="2"/>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cs="Times New Roman"/>
                <w:bCs w:val="0"/>
                <w:spacing w:val="0"/>
                <w:kern w:val="2"/>
                <w:sz w:val="21"/>
                <w:szCs w:val="22"/>
                <w:lang w:val="en-US" w:eastAsia="zh-CN" w:bidi="ar-SA"/>
              </w:rPr>
              <w:t>预案评估：</w:t>
            </w:r>
            <w:r>
              <w:rPr>
                <w:rFonts w:hint="eastAsia" w:ascii="Times New Roman" w:hAnsi="Times New Roman" w:eastAsia="宋体" w:cs="Times New Roman"/>
                <w:bCs w:val="0"/>
                <w:spacing w:val="0"/>
                <w:kern w:val="2"/>
                <w:sz w:val="21"/>
                <w:szCs w:val="22"/>
                <w:lang w:val="en-US" w:eastAsia="zh-CN" w:bidi="ar-SA"/>
              </w:rPr>
              <w:t>进一步完善和修改《触电应急救援预案》</w:t>
            </w:r>
            <w:r>
              <w:rPr>
                <w:rFonts w:hint="eastAsia" w:ascii="Times New Roman" w:hAnsi="Times New Roman" w:cs="Times New Roman"/>
                <w:bCs w:val="0"/>
                <w:spacing w:val="0"/>
                <w:kern w:val="2"/>
                <w:sz w:val="21"/>
                <w:szCs w:val="22"/>
                <w:lang w:val="en-US" w:eastAsia="zh-CN" w:bidi="ar-SA"/>
              </w:rPr>
              <w:t>，</w:t>
            </w:r>
            <w:r>
              <w:rPr>
                <w:rFonts w:hint="eastAsia" w:ascii="Times New Roman" w:hAnsi="Times New Roman" w:eastAsia="宋体" w:cs="Times New Roman"/>
                <w:bCs w:val="0"/>
                <w:spacing w:val="0"/>
                <w:kern w:val="2"/>
                <w:sz w:val="21"/>
                <w:szCs w:val="22"/>
                <w:lang w:val="en-US" w:eastAsia="zh-CN" w:bidi="ar-SA"/>
              </w:rPr>
              <w:t>认真抓好员工安全教育培训，开展技能练兵，使施工人员从理论实践中增长安全技能，提高安全意识。加强安全管理力度，建立健全和完善各项规章制度</w:t>
            </w:r>
            <w:r>
              <w:rPr>
                <w:rFonts w:hint="eastAsia" w:ascii="Times New Roman" w:hAnsi="Times New Roman" w:cs="Times New Roman"/>
                <w:bCs w:val="0"/>
                <w:spacing w:val="0"/>
                <w:kern w:val="2"/>
                <w:sz w:val="21"/>
                <w:szCs w:val="22"/>
                <w:lang w:val="en-US" w:eastAsia="zh-CN" w:bidi="ar-SA"/>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rPr>
                <w:rFonts w:hint="eastAsia" w:ascii="宋体" w:hAnsi="宋体" w:cs="Arial"/>
                <w:color w:val="auto"/>
                <w:szCs w:val="21"/>
              </w:rPr>
            </w:pPr>
            <w:r>
              <w:rPr>
                <w:rFonts w:hint="eastAsia" w:ascii="宋体" w:hAnsi="宋体" w:cs="Arial"/>
                <w:color w:val="auto"/>
                <w:szCs w:val="21"/>
              </w:rPr>
              <w:t>产品和服务提供的控制</w:t>
            </w:r>
          </w:p>
          <w:p>
            <w:pPr>
              <w:pStyle w:val="15"/>
              <w:rPr>
                <w:rFonts w:hint="eastAsia" w:ascii="宋体" w:hAnsi="宋体" w:cs="Arial"/>
                <w:color w:val="auto"/>
                <w:szCs w:val="21"/>
              </w:rPr>
            </w:pPr>
          </w:p>
          <w:p>
            <w:pPr>
              <w:pStyle w:val="15"/>
              <w:rPr>
                <w:rFonts w:hint="eastAsia" w:ascii="宋体" w:hAnsi="宋体" w:cs="Arial"/>
                <w:color w:val="auto"/>
                <w:szCs w:val="21"/>
              </w:rPr>
            </w:pPr>
          </w:p>
          <w:p>
            <w:pPr>
              <w:spacing w:line="360" w:lineRule="auto"/>
              <w:rPr>
                <w:rFonts w:ascii="宋体" w:hAnsi="宋体" w:cs="Arial"/>
                <w:color w:val="auto"/>
                <w:szCs w:val="21"/>
              </w:rPr>
            </w:pPr>
            <w:r>
              <w:rPr>
                <w:rFonts w:hint="eastAsia" w:ascii="宋体" w:hAnsi="宋体" w:cs="Arial"/>
                <w:color w:val="auto"/>
                <w:szCs w:val="21"/>
              </w:rPr>
              <w:t>放行</w:t>
            </w:r>
          </w:p>
          <w:p>
            <w:pPr>
              <w:rPr>
                <w:rFonts w:ascii="宋体" w:hAnsi="宋体" w:cs="Arial"/>
                <w:color w:val="auto"/>
                <w:szCs w:val="21"/>
              </w:rPr>
            </w:pPr>
          </w:p>
        </w:tc>
        <w:tc>
          <w:tcPr>
            <w:tcW w:w="960" w:type="dxa"/>
          </w:tcPr>
          <w:p>
            <w:pPr>
              <w:rPr>
                <w:rFonts w:hint="eastAsia" w:ascii="宋体" w:hAnsi="宋体" w:cs="Arial"/>
                <w:color w:val="auto"/>
                <w:szCs w:val="21"/>
              </w:rPr>
            </w:pPr>
            <w:r>
              <w:rPr>
                <w:rFonts w:hint="eastAsia" w:ascii="宋体" w:hAnsi="宋体" w:cs="Arial"/>
                <w:color w:val="auto"/>
                <w:szCs w:val="21"/>
              </w:rPr>
              <w:t>Q:8.5.1</w:t>
            </w:r>
          </w:p>
          <w:p>
            <w:pPr>
              <w:rPr>
                <w:rFonts w:hint="eastAsia" w:ascii="宋体" w:hAnsi="宋体" w:cs="Arial"/>
                <w:color w:val="auto"/>
                <w:szCs w:val="21"/>
              </w:rPr>
            </w:pPr>
          </w:p>
          <w:p>
            <w:pPr>
              <w:pStyle w:val="15"/>
              <w:rPr>
                <w:rFonts w:hint="eastAsia" w:ascii="宋体" w:hAnsi="宋体" w:cs="Arial"/>
                <w:color w:val="auto"/>
                <w:szCs w:val="21"/>
              </w:rPr>
            </w:pPr>
          </w:p>
          <w:p>
            <w:pPr>
              <w:pStyle w:val="15"/>
              <w:rPr>
                <w:rFonts w:hint="eastAsia" w:ascii="宋体" w:hAnsi="宋体" w:cs="Arial"/>
                <w:color w:val="auto"/>
                <w:szCs w:val="21"/>
              </w:rPr>
            </w:pPr>
          </w:p>
          <w:p>
            <w:pPr>
              <w:pStyle w:val="15"/>
              <w:rPr>
                <w:rFonts w:hint="eastAsia" w:ascii="宋体" w:hAnsi="宋体" w:cs="Arial"/>
                <w:color w:val="auto"/>
                <w:szCs w:val="21"/>
              </w:rPr>
            </w:pPr>
          </w:p>
          <w:p>
            <w:pPr>
              <w:rPr>
                <w:rFonts w:hint="eastAsia" w:eastAsia="宋体"/>
                <w:lang w:val="en-US" w:eastAsia="zh-CN"/>
              </w:rPr>
            </w:pPr>
            <w:r>
              <w:rPr>
                <w:rFonts w:hint="eastAsia" w:ascii="宋体" w:hAnsi="宋体" w:cs="Arial"/>
                <w:color w:val="auto"/>
                <w:szCs w:val="21"/>
              </w:rPr>
              <w:t>Q:8.</w:t>
            </w:r>
            <w:r>
              <w:rPr>
                <w:rFonts w:hint="eastAsia" w:ascii="宋体" w:hAnsi="宋体" w:cs="Arial"/>
                <w:color w:val="auto"/>
                <w:szCs w:val="21"/>
                <w:lang w:val="en-US" w:eastAsia="zh-CN"/>
              </w:rPr>
              <w:t>6</w:t>
            </w:r>
          </w:p>
          <w:p>
            <w:pPr>
              <w:rPr>
                <w:rFonts w:ascii="宋体" w:hAnsi="宋体" w:cs="Arial"/>
                <w:color w:val="auto"/>
                <w:szCs w:val="21"/>
              </w:rPr>
            </w:pPr>
          </w:p>
          <w:p>
            <w:pPr>
              <w:rPr>
                <w:rFonts w:ascii="宋体" w:hAnsi="宋体" w:cs="Arial"/>
                <w:color w:val="auto"/>
                <w:szCs w:val="21"/>
              </w:rPr>
            </w:pPr>
          </w:p>
        </w:tc>
        <w:tc>
          <w:tcPr>
            <w:tcW w:w="10004" w:type="dxa"/>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lang w:val="en-US" w:eastAsia="zh-CN"/>
              </w:rPr>
              <w:t>建筑机电安装工程、电子与智能化工程、防雷工程的施工、通信工程施工</w:t>
            </w:r>
            <w:r>
              <w:rPr>
                <w:rFonts w:hint="eastAsia"/>
                <w:color w:val="auto"/>
                <w:sz w:val="21"/>
                <w:szCs w:val="21"/>
                <w:lang w:val="en-US" w:eastAsia="zh-CN"/>
              </w:rPr>
              <w:t>,</w:t>
            </w:r>
            <w:r>
              <w:rPr>
                <w:rFonts w:hint="eastAsia" w:ascii="宋体" w:hAnsi="宋体" w:cs="宋体"/>
                <w:color w:val="auto"/>
                <w:sz w:val="21"/>
                <w:szCs w:val="21"/>
              </w:rPr>
              <w:t>基本流程：</w:t>
            </w:r>
          </w:p>
          <w:p>
            <w:pPr>
              <w:spacing w:line="360" w:lineRule="auto"/>
              <w:ind w:left="420" w:leftChars="200"/>
              <w:rPr>
                <w:rFonts w:ascii="宋体" w:hAnsi="宋体" w:cs="宋体"/>
                <w:color w:val="auto"/>
                <w:sz w:val="21"/>
                <w:szCs w:val="21"/>
              </w:rPr>
            </w:pPr>
            <w:r>
              <w:rPr>
                <w:rFonts w:hint="eastAsia"/>
                <w:b w:val="0"/>
                <w:bCs/>
                <w:sz w:val="20"/>
                <w:szCs w:val="22"/>
              </w:rPr>
              <w:t>开工报告</w:t>
            </w:r>
            <w:r>
              <w:rPr>
                <w:rFonts w:hint="eastAsia"/>
                <w:b w:val="0"/>
                <w:bCs/>
                <w:sz w:val="20"/>
                <w:szCs w:val="22"/>
                <w:lang w:eastAsia="zh-CN"/>
              </w:rPr>
              <w:t>—</w:t>
            </w:r>
            <w:r>
              <w:rPr>
                <w:rFonts w:hint="eastAsia"/>
                <w:b w:val="0"/>
                <w:bCs/>
                <w:sz w:val="20"/>
                <w:szCs w:val="22"/>
                <w:lang w:val="en-US" w:eastAsia="zh-CN"/>
              </w:rPr>
              <w:t>材料入场</w:t>
            </w:r>
            <w:r>
              <w:rPr>
                <w:rFonts w:hint="eastAsia"/>
                <w:b w:val="0"/>
                <w:bCs/>
                <w:sz w:val="20"/>
                <w:szCs w:val="22"/>
                <w:lang w:eastAsia="zh-CN"/>
              </w:rPr>
              <w:t>—</w:t>
            </w:r>
            <w:r>
              <w:rPr>
                <w:rFonts w:hint="eastAsia"/>
                <w:b w:val="0"/>
                <w:bCs/>
                <w:sz w:val="20"/>
                <w:szCs w:val="22"/>
              </w:rPr>
              <w:t>敷缆</w:t>
            </w:r>
            <w:r>
              <w:rPr>
                <w:rFonts w:hint="eastAsia"/>
                <w:b w:val="0"/>
                <w:bCs/>
                <w:sz w:val="20"/>
                <w:szCs w:val="22"/>
                <w:lang w:eastAsia="zh-CN"/>
              </w:rPr>
              <w:t>、</w:t>
            </w:r>
            <w:r>
              <w:rPr>
                <w:rFonts w:hint="eastAsia"/>
                <w:b w:val="0"/>
                <w:bCs/>
                <w:sz w:val="20"/>
                <w:szCs w:val="22"/>
                <w:lang w:val="en-US" w:eastAsia="zh-CN"/>
              </w:rPr>
              <w:t>安装</w:t>
            </w:r>
            <w:r>
              <w:rPr>
                <w:rFonts w:hint="eastAsia"/>
                <w:b w:val="0"/>
                <w:bCs/>
                <w:sz w:val="20"/>
                <w:szCs w:val="22"/>
                <w:lang w:eastAsia="zh-CN"/>
              </w:rPr>
              <w:t>—</w:t>
            </w:r>
            <w:r>
              <w:rPr>
                <w:rFonts w:hint="eastAsia"/>
                <w:b w:val="0"/>
                <w:bCs/>
                <w:sz w:val="20"/>
                <w:szCs w:val="22"/>
              </w:rPr>
              <w:t>试验、检验</w:t>
            </w:r>
            <w:r>
              <w:rPr>
                <w:rFonts w:hint="eastAsia"/>
                <w:b w:val="0"/>
                <w:bCs/>
                <w:sz w:val="20"/>
                <w:szCs w:val="22"/>
                <w:lang w:eastAsia="zh-CN"/>
              </w:rPr>
              <w:t>—</w:t>
            </w:r>
            <w:r>
              <w:rPr>
                <w:rFonts w:hint="eastAsia"/>
                <w:b w:val="0"/>
                <w:bCs/>
                <w:sz w:val="20"/>
                <w:szCs w:val="22"/>
              </w:rPr>
              <w:t>交付</w:t>
            </w:r>
            <w:r>
              <w:rPr>
                <w:rFonts w:hint="eastAsia" w:ascii="宋体" w:hAnsi="宋体" w:eastAsia="宋体" w:cs="宋体"/>
                <w:color w:val="auto"/>
                <w:sz w:val="21"/>
                <w:szCs w:val="21"/>
                <w:lang w:val="en-US" w:eastAsia="zh-CN"/>
              </w:rPr>
              <w:t>。</w:t>
            </w:r>
          </w:p>
          <w:p>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color w:val="auto"/>
                <w:sz w:val="21"/>
                <w:szCs w:val="21"/>
                <w:lang w:eastAsia="zh-CN"/>
              </w:rPr>
            </w:pPr>
            <w:r>
              <w:rPr>
                <w:rFonts w:hint="eastAsia" w:asciiTheme="minorEastAsia" w:hAnsiTheme="minorEastAsia" w:eastAsiaTheme="minorEastAsia" w:cstheme="minorEastAsia"/>
                <w:b/>
                <w:bCs/>
                <w:color w:val="auto"/>
                <w:sz w:val="21"/>
                <w:szCs w:val="21"/>
                <w:lang w:val="en-US" w:eastAsia="zh-CN"/>
              </w:rPr>
              <w:t>a</w:t>
            </w:r>
            <w:r>
              <w:rPr>
                <w:rFonts w:hint="eastAsia" w:asciiTheme="minorEastAsia" w:hAnsiTheme="minorEastAsia" w:eastAsiaTheme="minorEastAsia" w:cstheme="minorEastAsia"/>
                <w:b/>
                <w:bCs/>
                <w:color w:val="auto"/>
                <w:sz w:val="21"/>
                <w:szCs w:val="21"/>
              </w:rPr>
              <w:t>)、</w:t>
            </w:r>
            <w:r>
              <w:rPr>
                <w:rFonts w:hint="eastAsia" w:ascii="宋体" w:hAnsi="宋体" w:cs="宋体"/>
                <w:color w:val="auto"/>
                <w:sz w:val="21"/>
                <w:szCs w:val="21"/>
                <w:lang w:eastAsia="zh-CN"/>
              </w:rPr>
              <w:t>工程部</w:t>
            </w:r>
            <w:r>
              <w:rPr>
                <w:rFonts w:hint="eastAsia" w:ascii="宋体" w:hAnsi="宋体" w:cs="宋体"/>
                <w:color w:val="auto"/>
                <w:sz w:val="21"/>
                <w:szCs w:val="21"/>
              </w:rPr>
              <w:t>按照策划的</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配套建设方案与技术措施</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进行施工</w:t>
            </w:r>
            <w:r>
              <w:rPr>
                <w:rFonts w:hint="eastAsia" w:ascii="宋体" w:hAnsi="宋体" w:cs="宋体"/>
                <w:color w:val="auto"/>
                <w:sz w:val="21"/>
                <w:szCs w:val="21"/>
              </w:rPr>
              <w:t>。有相关手册、程序文件以及作业文件等</w:t>
            </w:r>
            <w:r>
              <w:rPr>
                <w:rFonts w:hint="eastAsia" w:ascii="宋体" w:hAnsi="宋体" w:cs="宋体"/>
                <w:color w:val="auto"/>
                <w:sz w:val="21"/>
                <w:szCs w:val="21"/>
                <w:lang w:eastAsia="zh-CN"/>
              </w:rPr>
              <w:t>。</w:t>
            </w:r>
          </w:p>
          <w:p>
            <w:pPr>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w:t>
            </w:r>
            <w:r>
              <w:rPr>
                <w:rFonts w:hint="eastAsia" w:asciiTheme="minorEastAsia" w:hAnsiTheme="minorEastAsia" w:eastAsiaTheme="minorEastAsia" w:cstheme="minorEastAsia"/>
                <w:color w:val="auto"/>
                <w:sz w:val="21"/>
                <w:szCs w:val="21"/>
                <w:lang w:val="en-US" w:eastAsia="zh-CN"/>
              </w:rPr>
              <w:t>公司与客户中国石油天然气股份有限公司长庆油田分公司第十二采油厂签订的《2021年第十二采油厂数字化配套完善工程项目》合同</w:t>
            </w:r>
            <w:r>
              <w:rPr>
                <w:rFonts w:hint="eastAsia" w:asciiTheme="minorEastAsia" w:hAnsiTheme="minorEastAsia" w:eastAsiaTheme="minorEastAsia" w:cstheme="minorEastAsia"/>
                <w:color w:val="auto"/>
                <w:sz w:val="21"/>
                <w:szCs w:val="21"/>
              </w:rPr>
              <w:t>，规定了</w:t>
            </w:r>
            <w:r>
              <w:rPr>
                <w:rFonts w:hint="eastAsia" w:asciiTheme="minorEastAsia" w:hAnsiTheme="minorEastAsia" w:eastAsiaTheme="minorEastAsia" w:cstheme="minorEastAsia"/>
                <w:color w:val="auto"/>
                <w:sz w:val="21"/>
                <w:szCs w:val="21"/>
                <w:lang w:val="en-US" w:eastAsia="zh-CN"/>
              </w:rPr>
              <w:t>物联网需</w:t>
            </w:r>
            <w:r>
              <w:rPr>
                <w:rFonts w:hint="eastAsia" w:asciiTheme="minorEastAsia" w:hAnsiTheme="minorEastAsia" w:eastAsiaTheme="minorEastAsia" w:cstheme="minorEastAsia"/>
                <w:color w:val="auto"/>
                <w:sz w:val="21"/>
                <w:szCs w:val="21"/>
              </w:rPr>
              <w:t>完成的</w:t>
            </w:r>
            <w:r>
              <w:rPr>
                <w:rFonts w:hint="eastAsia" w:asciiTheme="minorEastAsia" w:hAnsiTheme="minorEastAsia" w:eastAsiaTheme="minorEastAsia" w:cstheme="minorEastAsia"/>
                <w:color w:val="auto"/>
                <w:sz w:val="21"/>
                <w:szCs w:val="21"/>
                <w:lang w:val="en-US" w:eastAsia="zh-CN"/>
              </w:rPr>
              <w:t>工作内容</w:t>
            </w:r>
            <w:r>
              <w:rPr>
                <w:rFonts w:hint="eastAsia" w:asciiTheme="minorEastAsia" w:hAnsiTheme="minorEastAsia" w:eastAsiaTheme="minorEastAsia" w:cstheme="minorEastAsia"/>
                <w:color w:val="auto"/>
                <w:sz w:val="21"/>
                <w:szCs w:val="21"/>
              </w:rPr>
              <w:t>。</w:t>
            </w:r>
          </w:p>
          <w:p>
            <w:pPr>
              <w:pStyle w:val="5"/>
              <w:rPr>
                <w:rFonts w:hint="eastAsia" w:asciiTheme="minorEastAsia" w:hAnsiTheme="minorEastAsia" w:eastAsiaTheme="minorEastAsia" w:cstheme="minorEastAsia"/>
                <w:color w:val="auto"/>
                <w:sz w:val="21"/>
                <w:szCs w:val="21"/>
              </w:rPr>
            </w:pPr>
            <w:r>
              <w:drawing>
                <wp:anchor distT="0" distB="0" distL="114300" distR="114300" simplePos="0" relativeHeight="251670528" behindDoc="0" locked="0" layoutInCell="1" allowOverlap="1">
                  <wp:simplePos x="0" y="0"/>
                  <wp:positionH relativeFrom="column">
                    <wp:posOffset>3543300</wp:posOffset>
                  </wp:positionH>
                  <wp:positionV relativeFrom="paragraph">
                    <wp:posOffset>29210</wp:posOffset>
                  </wp:positionV>
                  <wp:extent cx="1539240" cy="2099310"/>
                  <wp:effectExtent l="0" t="0" r="10160" b="8890"/>
                  <wp:wrapNone/>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4"/>
                          <a:stretch>
                            <a:fillRect/>
                          </a:stretch>
                        </pic:blipFill>
                        <pic:spPr>
                          <a:xfrm>
                            <a:off x="0" y="0"/>
                            <a:ext cx="1539240" cy="209931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222250</wp:posOffset>
                  </wp:positionH>
                  <wp:positionV relativeFrom="paragraph">
                    <wp:posOffset>35560</wp:posOffset>
                  </wp:positionV>
                  <wp:extent cx="1504950" cy="2088515"/>
                  <wp:effectExtent l="0" t="0" r="6350" b="6985"/>
                  <wp:wrapNone/>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5"/>
                          <a:stretch>
                            <a:fillRect/>
                          </a:stretch>
                        </pic:blipFill>
                        <pic:spPr>
                          <a:xfrm>
                            <a:off x="0" y="0"/>
                            <a:ext cx="1504950" cy="208851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1835150</wp:posOffset>
                  </wp:positionH>
                  <wp:positionV relativeFrom="paragraph">
                    <wp:posOffset>41910</wp:posOffset>
                  </wp:positionV>
                  <wp:extent cx="1499870" cy="2080895"/>
                  <wp:effectExtent l="0" t="0" r="11430" b="1905"/>
                  <wp:wrapNone/>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6"/>
                          <a:stretch>
                            <a:fillRect/>
                          </a:stretch>
                        </pic:blipFill>
                        <pic:spPr>
                          <a:xfrm>
                            <a:off x="0" y="0"/>
                            <a:ext cx="1499870" cy="2080895"/>
                          </a:xfrm>
                          <a:prstGeom prst="rect">
                            <a:avLst/>
                          </a:prstGeom>
                          <a:noFill/>
                          <a:ln>
                            <a:noFill/>
                          </a:ln>
                        </pic:spPr>
                      </pic:pic>
                    </a:graphicData>
                  </a:graphic>
                </wp:anchor>
              </w:drawing>
            </w: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eastAsia" w:asciiTheme="minorEastAsia" w:hAnsiTheme="minorEastAsia" w:eastAsiaTheme="minorEastAsia" w:cstheme="minorEastAsia"/>
                <w:color w:val="auto"/>
                <w:sz w:val="21"/>
                <w:szCs w:val="21"/>
              </w:rPr>
            </w:pPr>
          </w:p>
          <w:p>
            <w:pPr>
              <w:pStyle w:val="5"/>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合同详见附件。</w:t>
            </w:r>
          </w:p>
          <w:p>
            <w:pPr>
              <w:pStyle w:val="5"/>
              <w:ind w:firstLine="420" w:firstLineChars="200"/>
              <w:rPr>
                <w:rFonts w:hint="default" w:ascii="宋体" w:hAnsi="宋体" w:eastAsia="宋体" w:cs="Times New Roman"/>
                <w:b w:val="0"/>
                <w:bCs w:val="0"/>
                <w:sz w:val="21"/>
                <w:szCs w:val="21"/>
                <w:highlight w:val="none"/>
                <w:lang w:val="en-US" w:eastAsia="zh-CN"/>
              </w:rPr>
            </w:pPr>
            <w:r>
              <w:rPr>
                <w:rFonts w:hint="eastAsia" w:ascii="宋体" w:hAnsi="宋体"/>
                <w:b w:val="0"/>
                <w:bCs w:val="0"/>
                <w:sz w:val="21"/>
                <w:szCs w:val="21"/>
                <w:highlight w:val="none"/>
                <w:lang w:val="en-US" w:eastAsia="zh-CN"/>
              </w:rPr>
              <w:t>此</w:t>
            </w:r>
            <w:r>
              <w:rPr>
                <w:rFonts w:hint="eastAsia" w:ascii="宋体" w:hAnsi="宋体" w:eastAsia="宋体" w:cs="Times New Roman"/>
                <w:b w:val="0"/>
                <w:bCs w:val="0"/>
                <w:sz w:val="21"/>
                <w:szCs w:val="21"/>
                <w:highlight w:val="none"/>
              </w:rPr>
              <w:t>项目包括本项目主要对厂内转采井、拉油点、输油点及其他数字化配套施上，建设内容主要包括：网络传输系统配套施工，采集系统安装布线，SCADA系统配套升级，视频监控安装调试及其他数字化配套施工等。</w:t>
            </w:r>
            <w:r>
              <w:rPr>
                <w:rFonts w:hint="eastAsia" w:ascii="宋体" w:hAnsi="宋体" w:eastAsia="宋体" w:cs="Times New Roman"/>
                <w:b w:val="0"/>
                <w:bCs w:val="0"/>
                <w:sz w:val="21"/>
                <w:szCs w:val="21"/>
                <w:highlight w:val="none"/>
                <w:lang w:val="en-US" w:eastAsia="zh-CN"/>
              </w:rPr>
              <w:t>具体包含一下内容：</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（1）井场油气生产物联网建设包括：①井场网络安装调试；②井场浪涌保护器、防雷接地安装和测试；③井场视频监视系统（含灯光、喊话功能）、压变的校准、安装调试；④辅助设备的安装及调试。</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2）油水井配套建设包括：①抽油机控制柜及控制部分接线调试；②油井功图、三相电参的采集，抽油机远程启停；③配水阀组协议转换箱与井场主RTU的接线、调试和注水井流量、压力采集，远程参数设置；④油水井SCADA系统配套升级。</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（3）水源井配套建设包括：①数字化控制箱的安装、调试；②水源井流量、压力的采集；③水源井远程及就地启停控制；④水源井SCADA系统的接入。</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4）站点油气生产物联网建设包括：①站内各类检测变送器、执行机构和视频监视系统的校准、安装、调试、接地及配套的信号线缆敷设；②站点浪涌保护器、防雷接地安装和测试；③站内站控系统在设备间内的安装与系统联调、站内通信系统的安装、线缆敷设与调试；④站点的系统集成及SCADA系统配套完善；⑤注水泵房、输油泵房及危险区域的高清摄像机的挖沟、布线、安装和视频监控系统的安装、调试；⑥网络机柜至操作台及监控系统的布线和安装。</w:t>
            </w:r>
          </w:p>
          <w:p>
            <w:pPr>
              <w:pStyle w:val="5"/>
              <w:ind w:firstLine="420" w:firstLineChars="200"/>
              <w:rPr>
                <w:rFonts w:hint="eastAsia" w:ascii="宋体" w:hAnsi="宋体" w:eastAsia="宋体" w:cs="Times New Roman"/>
                <w:b w:val="0"/>
                <w:bCs w:val="0"/>
                <w:sz w:val="21"/>
                <w:szCs w:val="21"/>
                <w:highlight w:val="none"/>
              </w:rPr>
            </w:pPr>
            <w:r>
              <w:rPr>
                <w:rFonts w:hint="eastAsia" w:ascii="宋体" w:hAnsi="宋体" w:eastAsia="宋体" w:cs="Times New Roman"/>
                <w:b w:val="0"/>
                <w:bCs w:val="0"/>
                <w:sz w:val="21"/>
                <w:szCs w:val="21"/>
                <w:highlight w:val="none"/>
              </w:rPr>
              <w:t>（5）无人值守站配套建设改造包括：无人值守站改造有中心站、网络视频配套，电动阀等调试。</w:t>
            </w:r>
          </w:p>
          <w:p>
            <w:pPr>
              <w:pStyle w:val="5"/>
              <w:rPr>
                <w:rFonts w:hint="default" w:ascii="宋体" w:hAnsi="宋体" w:eastAsia="宋体" w:cs="Times New Roman"/>
                <w:b w:val="0"/>
                <w:bCs w:val="0"/>
                <w:sz w:val="21"/>
                <w:szCs w:val="21"/>
                <w:highlight w:val="none"/>
                <w:lang w:val="en-US" w:eastAsia="zh-CN"/>
              </w:rPr>
            </w:pPr>
            <w:r>
              <w:rPr>
                <w:rFonts w:hint="eastAsia" w:ascii="宋体" w:hAnsi="宋体" w:eastAsia="宋体" w:cs="Times New Roman"/>
                <w:b w:val="0"/>
                <w:bCs w:val="0"/>
                <w:sz w:val="21"/>
                <w:szCs w:val="21"/>
                <w:highlight w:val="none"/>
                <w:lang w:val="en-US" w:eastAsia="zh-CN"/>
              </w:rPr>
              <w:t>包含了本次申请的建筑机电安装工程、电子与智能化工程、防雷工程的施工、通信工程施工范围。</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lang w:val="en-US" w:eastAsia="zh-CN"/>
              </w:rPr>
              <w:t>b</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color w:val="auto"/>
                <w:sz w:val="21"/>
                <w:szCs w:val="21"/>
              </w:rPr>
              <w:t>公司编制的“</w:t>
            </w:r>
            <w:r>
              <w:rPr>
                <w:rFonts w:hint="eastAsia" w:ascii="宋体" w:hAnsi="宋体" w:cs="宋体"/>
                <w:color w:val="auto"/>
                <w:szCs w:val="21"/>
                <w:lang w:val="en-US" w:eastAsia="zh-CN"/>
              </w:rPr>
              <w:t>配套建设方案与技术措施</w:t>
            </w:r>
            <w:r>
              <w:rPr>
                <w:rFonts w:hint="eastAsia" w:asciiTheme="minorEastAsia" w:hAnsiTheme="minorEastAsia" w:eastAsiaTheme="minorEastAsia" w:cstheme="minorEastAsia"/>
                <w:color w:val="auto"/>
                <w:sz w:val="21"/>
                <w:szCs w:val="21"/>
              </w:rPr>
              <w:t>”，规定了监视和测量资源的管理要求。</w:t>
            </w:r>
            <w:r>
              <w:rPr>
                <w:rFonts w:hint="eastAsia" w:asciiTheme="minorEastAsia" w:hAnsiTheme="minorEastAsia" w:eastAsiaTheme="minorEastAsia" w:cstheme="minorEastAsia"/>
                <w:color w:val="auto"/>
                <w:sz w:val="21"/>
                <w:szCs w:val="21"/>
                <w:lang w:val="en-US" w:eastAsia="zh-CN"/>
              </w:rPr>
              <w:t>主要的监视测量设备为</w:t>
            </w:r>
            <w:r>
              <w:rPr>
                <w:rFonts w:hint="eastAsia"/>
                <w:lang w:val="en-US" w:eastAsia="zh-CN"/>
              </w:rPr>
              <w:t>智能过程检验仪、数字多用表、接地电阻测试仪、兆欧表、网线测试仪</w:t>
            </w:r>
            <w:r>
              <w:rPr>
                <w:rFonts w:hint="eastAsia" w:asciiTheme="minorEastAsia" w:hAnsiTheme="minorEastAsia" w:eastAsiaTheme="minorEastAsia" w:cstheme="minorEastAsia"/>
                <w:color w:val="auto"/>
                <w:sz w:val="21"/>
                <w:szCs w:val="21"/>
                <w:lang w:val="en-US" w:eastAsia="zh-CN"/>
              </w:rPr>
              <w:t>。</w:t>
            </w:r>
            <w:r>
              <w:rPr>
                <w:rFonts w:hint="eastAsia"/>
                <w:lang w:val="en-US" w:eastAsia="zh-CN"/>
              </w:rPr>
              <w:t>接地电阻测试仪在陕西省计量科学研究院进行了检定</w:t>
            </w:r>
            <w:r>
              <w:rPr>
                <w:rFonts w:hint="eastAsia" w:asciiTheme="minorEastAsia" w:hAnsiTheme="minorEastAsia" w:eastAsiaTheme="minorEastAsia" w:cstheme="minorEastAsia"/>
                <w:color w:val="auto"/>
                <w:sz w:val="21"/>
                <w:szCs w:val="21"/>
                <w:lang w:val="en-US" w:eastAsia="zh-CN"/>
              </w:rPr>
              <w:t>。确认</w:t>
            </w:r>
            <w:r>
              <w:rPr>
                <w:rFonts w:hint="eastAsia" w:asciiTheme="minorEastAsia" w:hAnsiTheme="minorEastAsia" w:eastAsiaTheme="minorEastAsia" w:cstheme="minorEastAsia"/>
                <w:color w:val="auto"/>
                <w:sz w:val="21"/>
                <w:szCs w:val="21"/>
              </w:rPr>
              <w:t>上述监视和测量设备</w:t>
            </w:r>
            <w:r>
              <w:rPr>
                <w:rFonts w:hint="eastAsia" w:asciiTheme="minorEastAsia" w:hAnsiTheme="minorEastAsia" w:eastAsiaTheme="minorEastAsia" w:cstheme="minorEastAsia"/>
                <w:color w:val="auto"/>
                <w:sz w:val="21"/>
                <w:szCs w:val="21"/>
                <w:lang w:val="en-US" w:eastAsia="zh-CN"/>
              </w:rPr>
              <w:t>能</w:t>
            </w:r>
            <w:r>
              <w:rPr>
                <w:rFonts w:hint="eastAsia" w:asciiTheme="minorEastAsia" w:hAnsiTheme="minorEastAsia" w:eastAsiaTheme="minorEastAsia" w:cstheme="minorEastAsia"/>
                <w:color w:val="auto"/>
                <w:sz w:val="21"/>
                <w:szCs w:val="21"/>
              </w:rPr>
              <w:t>满足产品测量需求。</w:t>
            </w:r>
          </w:p>
          <w:p>
            <w:pPr>
              <w:keepNext w:val="0"/>
              <w:keepLines w:val="0"/>
              <w:suppressLineNumbers w:val="0"/>
              <w:tabs>
                <w:tab w:val="left" w:pos="-52"/>
              </w:tabs>
              <w:spacing w:before="0" w:beforeAutospacing="0" w:after="0" w:afterAutospacing="0" w:line="360" w:lineRule="auto"/>
              <w:ind w:right="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c</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color w:val="auto"/>
                <w:sz w:val="21"/>
                <w:szCs w:val="21"/>
              </w:rPr>
              <w:t>“</w:t>
            </w:r>
            <w:r>
              <w:rPr>
                <w:rFonts w:hint="eastAsia" w:ascii="宋体" w:hAnsi="宋体" w:cs="宋体"/>
                <w:color w:val="auto"/>
                <w:szCs w:val="21"/>
                <w:lang w:val="en-US" w:eastAsia="zh-CN"/>
              </w:rPr>
              <w:t>配套建设方案与技术措施</w:t>
            </w:r>
            <w:r>
              <w:rPr>
                <w:rFonts w:hint="eastAsia" w:asciiTheme="minorEastAsia" w:hAnsiTheme="minorEastAsia" w:eastAsiaTheme="minorEastAsia" w:cstheme="minorEastAsia"/>
                <w:color w:val="auto"/>
                <w:sz w:val="21"/>
                <w:szCs w:val="21"/>
                <w:lang w:val="en-US" w:eastAsia="zh-CN"/>
              </w:rPr>
              <w:t>”中规定</w:t>
            </w:r>
            <w:r>
              <w:rPr>
                <w:rFonts w:hint="eastAsia" w:ascii="宋体" w:hAnsi="宋体" w:eastAsia="宋体" w:cs="宋体"/>
                <w:kern w:val="0"/>
                <w:sz w:val="21"/>
                <w:szCs w:val="21"/>
                <w:highlight w:val="none"/>
              </w:rPr>
              <w:t>对厂内转采井、拉油点、输油点及其他数字化配套施上，建设内容主要包括：网络传输系统配套施工，采集系统安装布线，SCADA系统配套升级，视频监控安装调试及其他数字化配套施工等</w:t>
            </w:r>
            <w:r>
              <w:rPr>
                <w:rFonts w:hint="eastAsia" w:asciiTheme="minorEastAsia" w:hAnsiTheme="minorEastAsia" w:eastAsiaTheme="minorEastAsia" w:cstheme="minorEastAsia"/>
                <w:b w:val="0"/>
                <w:bCs w:val="0"/>
                <w:color w:val="auto"/>
                <w:sz w:val="21"/>
                <w:szCs w:val="21"/>
                <w:lang w:val="en-US" w:eastAsia="zh-CN"/>
              </w:rPr>
              <w:t>。</w:t>
            </w: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1、查</w:t>
            </w:r>
            <w:r>
              <w:rPr>
                <w:rFonts w:hint="eastAsia" w:ascii="宋体" w:hAnsi="宋体" w:cs="宋体"/>
                <w:b/>
                <w:bCs/>
                <w:kern w:val="0"/>
                <w:sz w:val="21"/>
                <w:szCs w:val="21"/>
                <w:highlight w:val="none"/>
                <w:lang w:val="en-US" w:eastAsia="zh-CN"/>
              </w:rPr>
              <w:t>庄182井场</w:t>
            </w:r>
            <w:r>
              <w:rPr>
                <w:rFonts w:hint="eastAsia" w:ascii="宋体" w:hAnsi="宋体" w:eastAsia="宋体" w:cs="宋体"/>
                <w:b/>
                <w:bCs/>
                <w:kern w:val="0"/>
                <w:sz w:val="21"/>
                <w:szCs w:val="21"/>
                <w:highlight w:val="none"/>
                <w:lang w:val="en-US" w:eastAsia="zh-CN"/>
              </w:rPr>
              <w:t>杆塔安装工程：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杆塔安装工程检验批质量验收记录表》：对1水泥杆的质量要求、2水泥杆安装的质量要求进行了质量验收，要求：水泥杆外观完好，无损伤；水泥杆底端与基础接触良好；水泥杆垂直度允许偏差每米不超过3mm，全高垂直度允许偏差不超过10mm；土坑每回填300mm夯实一次，夯实系数不低于0.90，且不得掺入杂草及冰雪；回填土高出自然地坪0.3m，以立杆为中心向四周放坡，半径为0.6m。</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default"/>
                <w:lang w:val="en-US" w:eastAsia="zh-CN"/>
              </w:rPr>
              <w:drawing>
                <wp:anchor distT="0" distB="0" distL="114300" distR="114300" simplePos="0" relativeHeight="251671552" behindDoc="0" locked="0" layoutInCell="1" allowOverlap="1">
                  <wp:simplePos x="0" y="0"/>
                  <wp:positionH relativeFrom="column">
                    <wp:posOffset>193675</wp:posOffset>
                  </wp:positionH>
                  <wp:positionV relativeFrom="paragraph">
                    <wp:posOffset>296545</wp:posOffset>
                  </wp:positionV>
                  <wp:extent cx="1628775" cy="2265045"/>
                  <wp:effectExtent l="0" t="0" r="9525" b="8255"/>
                  <wp:wrapNone/>
                  <wp:docPr id="36" name="图片 36" descr="微信图片_20220304230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3042306413"/>
                          <pic:cNvPicPr>
                            <a:picLocks noChangeAspect="1"/>
                          </pic:cNvPicPr>
                        </pic:nvPicPr>
                        <pic:blipFill>
                          <a:blip r:embed="rId17"/>
                          <a:stretch>
                            <a:fillRect/>
                          </a:stretch>
                        </pic:blipFill>
                        <pic:spPr>
                          <a:xfrm>
                            <a:off x="0" y="0"/>
                            <a:ext cx="1628775" cy="2265045"/>
                          </a:xfrm>
                          <a:prstGeom prst="rect">
                            <a:avLst/>
                          </a:prstGeom>
                        </pic:spPr>
                      </pic:pic>
                    </a:graphicData>
                  </a:graphic>
                </wp:anchor>
              </w:drawing>
            </w:r>
            <w:r>
              <w:rPr>
                <w:rFonts w:hint="eastAsia" w:ascii="宋体" w:hAnsi="宋体" w:eastAsia="宋体" w:cs="宋体"/>
                <w:kern w:val="0"/>
                <w:sz w:val="21"/>
                <w:szCs w:val="21"/>
                <w:highlight w:val="none"/>
                <w:lang w:val="en-US" w:eastAsia="zh-CN"/>
              </w:rPr>
              <w:t xml:space="preserve">   验收结果为符合要求；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14</w:t>
            </w:r>
            <w:r>
              <w:rPr>
                <w:rFonts w:hint="eastAsia" w:ascii="宋体" w:hAnsi="宋体" w:eastAsia="宋体" w:cs="宋体"/>
                <w:kern w:val="0"/>
                <w:sz w:val="21"/>
                <w:szCs w:val="21"/>
                <w:highlight w:val="none"/>
                <w:lang w:val="en-US" w:eastAsia="zh-CN"/>
              </w:rPr>
              <w:t>日。</w:t>
            </w:r>
          </w:p>
          <w:p>
            <w:pPr>
              <w:pStyle w:val="15"/>
              <w:rPr>
                <w:rFonts w:hint="default"/>
                <w:lang w:val="en-US" w:eastAsia="zh-CN"/>
              </w:rPr>
            </w:pP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p>
          <w:p>
            <w:pPr>
              <w:pStyle w:val="6"/>
              <w:rPr>
                <w:rFonts w:hint="eastAsia" w:asciiTheme="minorEastAsia" w:hAnsiTheme="minorEastAsia" w:eastAsiaTheme="minorEastAsia" w:cstheme="minorEastAsia"/>
                <w:b w:val="0"/>
                <w:bCs w:val="0"/>
                <w:color w:val="auto"/>
                <w:sz w:val="21"/>
                <w:szCs w:val="21"/>
                <w:lang w:val="en-US" w:eastAsia="zh-CN"/>
              </w:rPr>
            </w:pPr>
          </w:p>
          <w:p>
            <w:pPr>
              <w:pStyle w:val="8"/>
              <w:rPr>
                <w:rFonts w:hint="eastAsia" w:asciiTheme="minorEastAsia" w:hAnsiTheme="minorEastAsia" w:eastAsiaTheme="minorEastAsia" w:cstheme="minorEastAsia"/>
                <w:b w:val="0"/>
                <w:bCs w:val="0"/>
                <w:color w:val="auto"/>
                <w:sz w:val="21"/>
                <w:szCs w:val="21"/>
                <w:lang w:val="en-US" w:eastAsia="zh-CN"/>
              </w:rPr>
            </w:pPr>
          </w:p>
          <w:p>
            <w:pPr>
              <w:rPr>
                <w:rFonts w:hint="eastAsia" w:asciiTheme="minorEastAsia" w:hAnsiTheme="minorEastAsia" w:eastAsiaTheme="minorEastAsia" w:cstheme="minorEastAsia"/>
                <w:b w:val="0"/>
                <w:bCs w:val="0"/>
                <w:color w:val="auto"/>
                <w:sz w:val="21"/>
                <w:szCs w:val="21"/>
                <w:lang w:val="en-US" w:eastAsia="zh-CN"/>
              </w:rPr>
            </w:pPr>
          </w:p>
          <w:p>
            <w:pPr>
              <w:pStyle w:val="15"/>
              <w:rPr>
                <w:rFonts w:hint="eastAsia" w:asciiTheme="minorEastAsia" w:hAnsiTheme="minorEastAsia" w:eastAsiaTheme="minorEastAsia" w:cstheme="minorEastAsia"/>
                <w:b w:val="0"/>
                <w:bCs w:val="0"/>
                <w:color w:val="auto"/>
                <w:sz w:val="21"/>
                <w:szCs w:val="21"/>
                <w:lang w:val="en-US" w:eastAsia="zh-CN"/>
              </w:rPr>
            </w:pPr>
          </w:p>
          <w:p>
            <w:pPr>
              <w:pStyle w:val="15"/>
              <w:rPr>
                <w:rFonts w:hint="eastAsia" w:asciiTheme="minorEastAsia" w:hAnsiTheme="minorEastAsia" w:eastAsiaTheme="minorEastAsia" w:cstheme="minorEastAsia"/>
                <w:b w:val="0"/>
                <w:bCs w:val="0"/>
                <w:color w:val="auto"/>
                <w:sz w:val="21"/>
                <w:szCs w:val="21"/>
                <w:lang w:val="en-US" w:eastAsia="zh-CN"/>
              </w:rPr>
            </w:pP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p>
          <w:p>
            <w:pPr>
              <w:pStyle w:val="5"/>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color w:val="auto"/>
                <w:sz w:val="21"/>
                <w:szCs w:val="21"/>
                <w:lang w:val="en-US" w:eastAsia="zh-CN"/>
              </w:rPr>
            </w:pP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2、查</w:t>
            </w:r>
            <w:r>
              <w:rPr>
                <w:rFonts w:hint="eastAsia" w:ascii="宋体" w:hAnsi="宋体" w:cs="宋体"/>
                <w:b/>
                <w:bCs/>
                <w:kern w:val="0"/>
                <w:sz w:val="21"/>
                <w:szCs w:val="21"/>
                <w:highlight w:val="none"/>
                <w:lang w:val="en-US" w:eastAsia="zh-CN"/>
              </w:rPr>
              <w:t>庄182井场</w:t>
            </w:r>
            <w:r>
              <w:rPr>
                <w:rFonts w:hint="eastAsia" w:ascii="宋体" w:hAnsi="宋体" w:eastAsia="宋体" w:cs="宋体"/>
                <w:b/>
                <w:bCs/>
                <w:kern w:val="0"/>
                <w:sz w:val="21"/>
                <w:szCs w:val="21"/>
                <w:highlight w:val="none"/>
                <w:lang w:val="en-US" w:eastAsia="zh-CN"/>
              </w:rPr>
              <w:t>电缆线路工程：</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提供的《电缆线路工程检验批质量验收记录》：对1</w:t>
            </w:r>
            <w:r>
              <w:rPr>
                <w:rFonts w:hint="eastAsia" w:ascii="宋体" w:hAnsi="宋体" w:eastAsia="宋体" w:cs="宋体"/>
                <w:color w:val="auto"/>
                <w:szCs w:val="21"/>
              </w:rPr>
              <w:t>电缆支、托架安装</w:t>
            </w:r>
            <w:r>
              <w:rPr>
                <w:rFonts w:hint="eastAsia" w:ascii="宋体" w:hAnsi="宋体" w:eastAsia="宋体" w:cs="宋体"/>
                <w:color w:val="auto"/>
                <w:szCs w:val="21"/>
                <w:lang w:eastAsia="zh-CN"/>
              </w:rPr>
              <w:t>：支、托架焊接应牢固、横平竖直，无显著变形。支、托架切口处无卷边，毛刺，其长度一致。支架层间距及支架距离应符合设计及GB50303-2015的要求，成排安装的电缆支架 高差不应大于5mm。支、托架防腐处理应完整，油漆完好，颜色一致。支、托架全长均应接地良好。</w:t>
            </w:r>
            <w:r>
              <w:rPr>
                <w:rFonts w:hint="eastAsia" w:ascii="宋体" w:hAnsi="宋体" w:eastAsia="宋体" w:cs="宋体"/>
                <w:kern w:val="0"/>
                <w:sz w:val="21"/>
                <w:szCs w:val="21"/>
                <w:highlight w:val="none"/>
                <w:lang w:val="en-US" w:eastAsia="zh-CN"/>
              </w:rPr>
              <w:t>2中间电缆接头制作，要求：制作前应检查电缆型号、规格、电压等级，均应符合设计规定；绝缘应良好；电缆中间接头盒及其配件应齐全、无损伤。中间电缆中间接头制作工艺应符合规程规定，连接管压模尺寸应与芯线规格相符，外观应完好。接地线与电缆屏蔽层，铠装层连接应符合GB50168的要求，锡焊外观应平整，无毛刺。</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14</w:t>
            </w:r>
            <w:r>
              <w:rPr>
                <w:rFonts w:hint="eastAsia" w:ascii="宋体" w:hAnsi="宋体" w:eastAsia="宋体" w:cs="宋体"/>
                <w:kern w:val="0"/>
                <w:sz w:val="21"/>
                <w:szCs w:val="21"/>
                <w:highlight w:val="none"/>
                <w:lang w:val="en-US" w:eastAsia="zh-CN"/>
              </w:rPr>
              <w:t>日</w:t>
            </w:r>
          </w:p>
          <w:p>
            <w:pPr>
              <w:pStyle w:val="5"/>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drawing>
                <wp:anchor distT="0" distB="0" distL="114300" distR="114300" simplePos="0" relativeHeight="251672576" behindDoc="0" locked="0" layoutInCell="1" allowOverlap="1">
                  <wp:simplePos x="0" y="0"/>
                  <wp:positionH relativeFrom="column">
                    <wp:posOffset>191135</wp:posOffset>
                  </wp:positionH>
                  <wp:positionV relativeFrom="paragraph">
                    <wp:posOffset>29210</wp:posOffset>
                  </wp:positionV>
                  <wp:extent cx="1589405" cy="2182495"/>
                  <wp:effectExtent l="0" t="0" r="10795" b="1905"/>
                  <wp:wrapNone/>
                  <wp:docPr id="37" name="图片 37" descr="微信图片_20220304230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03042306412"/>
                          <pic:cNvPicPr>
                            <a:picLocks noChangeAspect="1"/>
                          </pic:cNvPicPr>
                        </pic:nvPicPr>
                        <pic:blipFill>
                          <a:blip r:embed="rId18"/>
                          <a:srcRect b="2783"/>
                          <a:stretch>
                            <a:fillRect/>
                          </a:stretch>
                        </pic:blipFill>
                        <pic:spPr>
                          <a:xfrm>
                            <a:off x="0" y="0"/>
                            <a:ext cx="1589405" cy="2182495"/>
                          </a:xfrm>
                          <a:prstGeom prst="rect">
                            <a:avLst/>
                          </a:prstGeom>
                        </pic:spPr>
                      </pic:pic>
                    </a:graphicData>
                  </a:graphic>
                </wp:anchor>
              </w:drawing>
            </w:r>
          </w:p>
          <w:p>
            <w:pPr>
              <w:pStyle w:val="6"/>
              <w:rPr>
                <w:rFonts w:hint="eastAsia" w:asciiTheme="minorEastAsia" w:hAnsiTheme="minorEastAsia" w:eastAsiaTheme="minorEastAsia" w:cstheme="minorEastAsia"/>
                <w:b w:val="0"/>
                <w:bCs w:val="0"/>
                <w:color w:val="auto"/>
                <w:sz w:val="21"/>
                <w:szCs w:val="21"/>
                <w:lang w:val="en-US" w:eastAsia="zh-CN"/>
              </w:rPr>
            </w:pPr>
          </w:p>
          <w:p>
            <w:pPr>
              <w:pStyle w:val="8"/>
              <w:rPr>
                <w:rFonts w:hint="eastAsia" w:asciiTheme="minorEastAsia" w:hAnsiTheme="minorEastAsia" w:eastAsiaTheme="minorEastAsia" w:cstheme="minorEastAsia"/>
                <w:b w:val="0"/>
                <w:bCs w:val="0"/>
                <w:color w:val="auto"/>
                <w:sz w:val="21"/>
                <w:szCs w:val="21"/>
                <w:lang w:val="en-US" w:eastAsia="zh-CN"/>
              </w:rPr>
            </w:pPr>
          </w:p>
          <w:p>
            <w:pPr>
              <w:rPr>
                <w:rFonts w:hint="eastAsia" w:asciiTheme="minorEastAsia" w:hAnsiTheme="minorEastAsia" w:eastAsiaTheme="minorEastAsia" w:cstheme="minorEastAsia"/>
                <w:b w:val="0"/>
                <w:bCs w:val="0"/>
                <w:color w:val="auto"/>
                <w:sz w:val="21"/>
                <w:szCs w:val="21"/>
                <w:lang w:val="en-US" w:eastAsia="zh-CN"/>
              </w:rPr>
            </w:pPr>
          </w:p>
          <w:p>
            <w:pPr>
              <w:pStyle w:val="15"/>
              <w:rPr>
                <w:rFonts w:hint="eastAsia"/>
                <w:lang w:val="en-US" w:eastAsia="zh-CN"/>
              </w:rPr>
            </w:pPr>
          </w:p>
          <w:p>
            <w:pPr>
              <w:pStyle w:val="5"/>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b w:val="0"/>
                <w:bCs w:val="0"/>
                <w:color w:val="auto"/>
                <w:sz w:val="21"/>
                <w:szCs w:val="21"/>
                <w:lang w:val="en-US" w:eastAsia="zh-CN"/>
              </w:rPr>
            </w:pPr>
          </w:p>
          <w:p>
            <w:pPr>
              <w:pStyle w:val="5"/>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b w:val="0"/>
                <w:bCs w:val="0"/>
                <w:color w:val="auto"/>
                <w:sz w:val="21"/>
                <w:szCs w:val="21"/>
                <w:lang w:val="en-US" w:eastAsia="zh-CN"/>
              </w:rPr>
            </w:pPr>
          </w:p>
          <w:p>
            <w:pPr>
              <w:pStyle w:val="5"/>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b w:val="0"/>
                <w:bCs w:val="0"/>
                <w:color w:val="auto"/>
                <w:sz w:val="21"/>
                <w:szCs w:val="21"/>
                <w:lang w:val="en-US" w:eastAsia="zh-CN"/>
              </w:rPr>
            </w:pPr>
          </w:p>
          <w:p>
            <w:pPr>
              <w:pStyle w:val="5"/>
              <w:keepNext w:val="0"/>
              <w:keepLines w:val="0"/>
              <w:suppressLineNumbers w:val="0"/>
              <w:spacing w:before="0" w:beforeAutospacing="0" w:after="0" w:afterAutospacing="0" w:line="360" w:lineRule="auto"/>
              <w:ind w:right="0"/>
              <w:rPr>
                <w:rFonts w:hint="eastAsia" w:asciiTheme="minorEastAsia" w:hAnsiTheme="minorEastAsia" w:eastAsiaTheme="minorEastAsia" w:cstheme="minorEastAsia"/>
                <w:b w:val="0"/>
                <w:bCs w:val="0"/>
                <w:color w:val="auto"/>
                <w:sz w:val="21"/>
                <w:szCs w:val="21"/>
                <w:lang w:val="en-US" w:eastAsia="zh-CN"/>
              </w:rPr>
            </w:pP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3</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徐39-42</w:t>
            </w:r>
            <w:r>
              <w:rPr>
                <w:rFonts w:hint="eastAsia" w:ascii="宋体" w:hAnsi="宋体" w:eastAsia="宋体" w:cs="宋体"/>
                <w:b/>
                <w:bCs/>
                <w:kern w:val="0"/>
                <w:sz w:val="21"/>
                <w:szCs w:val="21"/>
                <w:highlight w:val="none"/>
                <w:lang w:val="en-US" w:eastAsia="zh-CN"/>
              </w:rPr>
              <w:t>井场摄像机安装工程：</w:t>
            </w:r>
          </w:p>
          <w:p>
            <w:pPr>
              <w:keepNext w:val="0"/>
              <w:keepLines w:val="0"/>
              <w:suppressLineNumbers w:val="0"/>
              <w:tabs>
                <w:tab w:val="left" w:pos="-52"/>
              </w:tabs>
              <w:spacing w:before="0" w:beforeAutospacing="0" w:after="0" w:afterAutospacing="0" w:line="24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摄像机安装工程检验批质量验收记录表》：摄像机应根据设计文件进行到货检验，设备的规格、型号应符合设计文件规定；随机技术文件的内容和备品、备件应齐全；安装前，对摄像机应逐个通电检查和粗调。调整后，图像清晰后方可安装；摄像机与横担采用螺栓固定连接，固定牢固；线缆回路应进行绝缘测试，并有记录，绝缘电阻大于20MΩ；线缆不能接续；地线、电源线连接牢固，电源线与信号线分槽(或管)敷设，以防干扰。接地电阻不大于3.5Ω。</w:t>
            </w:r>
          </w:p>
          <w:p>
            <w:pPr>
              <w:keepNext w:val="0"/>
              <w:keepLines w:val="0"/>
              <w:suppressLineNumbers w:val="0"/>
              <w:tabs>
                <w:tab w:val="left" w:pos="-52"/>
              </w:tabs>
              <w:spacing w:before="0" w:beforeAutospacing="0" w:after="0" w:afterAutospacing="0" w:line="24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17</w:t>
            </w:r>
            <w:r>
              <w:rPr>
                <w:rFonts w:hint="eastAsia" w:ascii="宋体" w:hAnsi="宋体" w:eastAsia="宋体" w:cs="宋体"/>
                <w:kern w:val="0"/>
                <w:sz w:val="21"/>
                <w:szCs w:val="21"/>
                <w:highlight w:val="none"/>
                <w:lang w:val="en-US" w:eastAsia="zh-CN"/>
              </w:rPr>
              <w:t>日</w:t>
            </w:r>
          </w:p>
          <w:p>
            <w:pPr>
              <w:pStyle w:val="5"/>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drawing>
                <wp:inline distT="0" distB="0" distL="114300" distR="114300">
                  <wp:extent cx="2674620" cy="3808730"/>
                  <wp:effectExtent l="0" t="0" r="5080" b="1270"/>
                  <wp:docPr id="38" name="图片 38" descr="微信图片_20220304230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03042306416"/>
                          <pic:cNvPicPr>
                            <a:picLocks noChangeAspect="1"/>
                          </pic:cNvPicPr>
                        </pic:nvPicPr>
                        <pic:blipFill>
                          <a:blip r:embed="rId19"/>
                          <a:stretch>
                            <a:fillRect/>
                          </a:stretch>
                        </pic:blipFill>
                        <pic:spPr>
                          <a:xfrm>
                            <a:off x="0" y="0"/>
                            <a:ext cx="2674620" cy="3808730"/>
                          </a:xfrm>
                          <a:prstGeom prst="rect">
                            <a:avLst/>
                          </a:prstGeom>
                        </pic:spPr>
                      </pic:pic>
                    </a:graphicData>
                  </a:graphic>
                </wp:inline>
              </w:drawing>
            </w: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4</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庄182井场</w:t>
            </w:r>
            <w:r>
              <w:rPr>
                <w:rFonts w:hint="eastAsia" w:ascii="宋体" w:hAnsi="宋体" w:eastAsia="宋体" w:cs="宋体"/>
                <w:b/>
                <w:bCs/>
                <w:kern w:val="0"/>
                <w:sz w:val="21"/>
                <w:szCs w:val="21"/>
                <w:highlight w:val="none"/>
                <w:lang w:val="en-US" w:eastAsia="zh-CN"/>
              </w:rPr>
              <w:t>照明器具及配件安装工程：</w:t>
            </w:r>
          </w:p>
          <w:p>
            <w:pPr>
              <w:keepNext w:val="0"/>
              <w:keepLines w:val="0"/>
              <w:suppressLineNumbers w:val="0"/>
              <w:tabs>
                <w:tab w:val="left" w:pos="-52"/>
              </w:tabs>
              <w:spacing w:before="0" w:beforeAutospacing="0" w:after="0" w:afterAutospacing="0" w:line="24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照明器具及配件安装工程检验批质量验收记录表》：照明器具及线缆的规格、型号应符合设计要求，并有产品技术质量证明文件；照明器具及光控器外观光滑整洁，无破裂、划伤、变形、漆面脱落且配件齐全；照明器具与横担采用螺栓固定连接，必须牢固、端正、整齐，灯的照明方向朝向监视区域；连接应牢固，紧密，不应伤芯线和断股，压头应压紧；导线进入照明器具接线盒内，导线应留有适当余量，绝缘保护良好；线缆回路进行通断及绝缘测试，并有记录，绝缘电阻大于20MΩ；地线、电源线连接牢固，接地电阻不大于3.5Ω。</w:t>
            </w:r>
          </w:p>
          <w:p>
            <w:pPr>
              <w:keepNext w:val="0"/>
              <w:keepLines w:val="0"/>
              <w:suppressLineNumbers w:val="0"/>
              <w:tabs>
                <w:tab w:val="left" w:pos="-52"/>
              </w:tabs>
              <w:spacing w:before="0" w:beforeAutospacing="0" w:after="0" w:afterAutospacing="0" w:line="24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14</w:t>
            </w:r>
            <w:r>
              <w:rPr>
                <w:rFonts w:hint="eastAsia" w:ascii="宋体" w:hAnsi="宋体" w:eastAsia="宋体" w:cs="宋体"/>
                <w:kern w:val="0"/>
                <w:sz w:val="21"/>
                <w:szCs w:val="21"/>
                <w:highlight w:val="none"/>
                <w:lang w:val="en-US" w:eastAsia="zh-CN"/>
              </w:rPr>
              <w:t>日</w:t>
            </w:r>
          </w:p>
          <w:p>
            <w:pPr>
              <w:pStyle w:val="5"/>
              <w:keepNext w:val="0"/>
              <w:keepLines w:val="0"/>
              <w:widowControl w:val="0"/>
              <w:numPr>
                <w:ilvl w:val="0"/>
                <w:numId w:val="0"/>
              </w:numPr>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drawing>
                <wp:inline distT="0" distB="0" distL="114300" distR="114300">
                  <wp:extent cx="2518410" cy="3469005"/>
                  <wp:effectExtent l="0" t="0" r="8890" b="10795"/>
                  <wp:docPr id="39" name="图片 39" descr="微信图片_20220304230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03042306411"/>
                          <pic:cNvPicPr>
                            <a:picLocks noChangeAspect="1"/>
                          </pic:cNvPicPr>
                        </pic:nvPicPr>
                        <pic:blipFill>
                          <a:blip r:embed="rId20"/>
                          <a:stretch>
                            <a:fillRect/>
                          </a:stretch>
                        </pic:blipFill>
                        <pic:spPr>
                          <a:xfrm>
                            <a:off x="0" y="0"/>
                            <a:ext cx="2518410" cy="3469005"/>
                          </a:xfrm>
                          <a:prstGeom prst="rect">
                            <a:avLst/>
                          </a:prstGeom>
                        </pic:spPr>
                      </pic:pic>
                    </a:graphicData>
                  </a:graphic>
                </wp:inline>
              </w:drawing>
            </w:r>
          </w:p>
          <w:p>
            <w:pPr>
              <w:pStyle w:val="6"/>
              <w:rPr>
                <w:rFonts w:hint="eastAsia" w:asciiTheme="minorEastAsia" w:hAnsiTheme="minorEastAsia" w:eastAsiaTheme="minorEastAsia" w:cstheme="minorEastAsia"/>
                <w:b w:val="0"/>
                <w:bCs w:val="0"/>
                <w:color w:val="auto"/>
                <w:sz w:val="21"/>
                <w:szCs w:val="21"/>
                <w:lang w:val="en-US" w:eastAsia="zh-CN"/>
              </w:rPr>
            </w:pP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5</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徐33-44</w:t>
            </w:r>
            <w:r>
              <w:rPr>
                <w:rFonts w:hint="eastAsia" w:ascii="宋体" w:hAnsi="宋体" w:eastAsia="宋体" w:cs="宋体"/>
                <w:b/>
                <w:bCs/>
                <w:kern w:val="0"/>
                <w:sz w:val="21"/>
                <w:szCs w:val="21"/>
                <w:highlight w:val="none"/>
                <w:lang w:val="en-US" w:eastAsia="zh-CN"/>
              </w:rPr>
              <w:t>井场室外号角安装工程：</w:t>
            </w:r>
          </w:p>
          <w:p>
            <w:pPr>
              <w:keepNext w:val="0"/>
              <w:keepLines w:val="0"/>
              <w:suppressLineNumbers w:val="0"/>
              <w:tabs>
                <w:tab w:val="left" w:pos="-52"/>
              </w:tabs>
              <w:spacing w:before="0" w:beforeAutospacing="0" w:after="0" w:afterAutospacing="0" w:line="24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w:t>
            </w:r>
            <w:r>
              <w:rPr>
                <w:rFonts w:hint="eastAsia" w:ascii="宋体" w:hAnsi="宋体" w:eastAsia="宋体" w:cs="宋体"/>
                <w:kern w:val="0"/>
                <w:sz w:val="21"/>
                <w:szCs w:val="21"/>
                <w:highlight w:val="none"/>
                <w:lang w:val="en-GB" w:eastAsia="zh-CN"/>
              </w:rPr>
              <w:t>室外号角</w:t>
            </w:r>
            <w:r>
              <w:rPr>
                <w:rFonts w:hint="eastAsia" w:ascii="宋体" w:hAnsi="宋体" w:eastAsia="宋体" w:cs="宋体"/>
                <w:kern w:val="0"/>
                <w:sz w:val="21"/>
                <w:szCs w:val="21"/>
                <w:highlight w:val="none"/>
                <w:lang w:val="en-US" w:eastAsia="zh-CN"/>
              </w:rPr>
              <w:t>安装工程检验批质量验收记录表》：室外号角及附件的规格、型号应符合设计要求，并有产品技术质量证明文件；室外号角的外观应完好，无损伤，配件应齐全；室外号角中心距地面按设计高度允许偏差±50mm；室外号角通过U型抱箍、螺栓固定牢固；室外号角的方向朝向监视区域；连接应牢固，紧密，不应伤芯线和断股，压头应压紧；导线进入接线端子，留有适当余量，绝缘保护良好；线缆回路进行通断及绝缘测试，并有记录，绝缘电阻大于20MΩ；地线、电源线连接牢固，接地电阻不大于3.5Ω。</w:t>
            </w:r>
          </w:p>
          <w:p>
            <w:pPr>
              <w:keepNext w:val="0"/>
              <w:keepLines w:val="0"/>
              <w:suppressLineNumbers w:val="0"/>
              <w:tabs>
                <w:tab w:val="left" w:pos="-52"/>
              </w:tabs>
              <w:spacing w:before="0" w:beforeAutospacing="0" w:after="0" w:afterAutospacing="0" w:line="24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11</w:t>
            </w:r>
            <w:r>
              <w:rPr>
                <w:rFonts w:hint="eastAsia" w:ascii="宋体" w:hAnsi="宋体" w:eastAsia="宋体" w:cs="宋体"/>
                <w:kern w:val="0"/>
                <w:sz w:val="21"/>
                <w:szCs w:val="21"/>
                <w:highlight w:val="none"/>
                <w:lang w:val="en-US" w:eastAsia="zh-CN"/>
              </w:rPr>
              <w:t>日</w:t>
            </w:r>
          </w:p>
          <w:p>
            <w:pPr>
              <w:pStyle w:val="5"/>
              <w:keepNext w:val="0"/>
              <w:keepLines w:val="0"/>
              <w:widowControl w:val="0"/>
              <w:numPr>
                <w:ilvl w:val="0"/>
                <w:numId w:val="0"/>
              </w:numPr>
              <w:suppressLineNumbers w:val="0"/>
              <w:spacing w:before="0" w:beforeAutospacing="0" w:after="0" w:afterAutospacing="0" w:line="360" w:lineRule="auto"/>
              <w:ind w:left="0" w:right="0"/>
              <w:jc w:val="both"/>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drawing>
                <wp:inline distT="0" distB="0" distL="114300" distR="114300">
                  <wp:extent cx="2736215" cy="3722370"/>
                  <wp:effectExtent l="0" t="0" r="6985" b="11430"/>
                  <wp:docPr id="40" name="图片 40" descr="微信图片_2022030423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203042306403"/>
                          <pic:cNvPicPr>
                            <a:picLocks noChangeAspect="1"/>
                          </pic:cNvPicPr>
                        </pic:nvPicPr>
                        <pic:blipFill>
                          <a:blip r:embed="rId21"/>
                          <a:stretch>
                            <a:fillRect/>
                          </a:stretch>
                        </pic:blipFill>
                        <pic:spPr>
                          <a:xfrm>
                            <a:off x="0" y="0"/>
                            <a:ext cx="2736215" cy="3722370"/>
                          </a:xfrm>
                          <a:prstGeom prst="rect">
                            <a:avLst/>
                          </a:prstGeom>
                        </pic:spPr>
                      </pic:pic>
                    </a:graphicData>
                  </a:graphic>
                </wp:inline>
              </w:drawing>
            </w:r>
          </w:p>
          <w:p>
            <w:pPr>
              <w:pStyle w:val="6"/>
              <w:rPr>
                <w:rFonts w:hint="eastAsia" w:asciiTheme="minorEastAsia" w:hAnsiTheme="minorEastAsia" w:eastAsiaTheme="minorEastAsia" w:cstheme="minorEastAsia"/>
                <w:b w:val="0"/>
                <w:bCs w:val="0"/>
                <w:color w:val="auto"/>
                <w:sz w:val="21"/>
                <w:szCs w:val="21"/>
                <w:lang w:val="en-US" w:eastAsia="zh-CN"/>
              </w:rPr>
            </w:pP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6</w:t>
            </w:r>
            <w:r>
              <w:rPr>
                <w:rFonts w:hint="eastAsia" w:ascii="宋体" w:hAnsi="宋体" w:eastAsia="宋体" w:cs="宋体"/>
                <w:b/>
                <w:bCs/>
                <w:kern w:val="0"/>
                <w:sz w:val="21"/>
                <w:szCs w:val="21"/>
                <w:highlight w:val="none"/>
                <w:lang w:val="en-US" w:eastAsia="zh-CN"/>
              </w:rPr>
              <w:t>、查</w:t>
            </w:r>
            <w:r>
              <w:rPr>
                <w:rFonts w:hint="eastAsia" w:ascii="宋体" w:hAnsi="宋体" w:cs="宋体"/>
                <w:b/>
                <w:bCs/>
                <w:kern w:val="0"/>
                <w:sz w:val="21"/>
                <w:szCs w:val="21"/>
                <w:highlight w:val="none"/>
                <w:lang w:val="en-US" w:eastAsia="zh-CN"/>
              </w:rPr>
              <w:t>徐39-42</w:t>
            </w:r>
            <w:r>
              <w:rPr>
                <w:rFonts w:hint="eastAsia" w:ascii="宋体" w:hAnsi="宋体" w:eastAsia="宋体" w:cs="宋体"/>
                <w:b/>
                <w:bCs/>
                <w:kern w:val="0"/>
                <w:sz w:val="21"/>
                <w:szCs w:val="21"/>
                <w:highlight w:val="none"/>
                <w:lang w:val="en-US" w:eastAsia="zh-CN"/>
              </w:rPr>
              <w:t>井场接地及避雷安装工程：</w:t>
            </w:r>
          </w:p>
          <w:p>
            <w:pPr>
              <w:keepNext w:val="0"/>
              <w:keepLines w:val="0"/>
              <w:suppressLineNumbers w:val="0"/>
              <w:tabs>
                <w:tab w:val="left" w:pos="-52"/>
              </w:tabs>
              <w:spacing w:before="0" w:beforeAutospacing="0" w:after="0" w:afterAutospacing="0" w:line="240" w:lineRule="auto"/>
              <w:ind w:right="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接地安装工程检验批质量验收记录表》：接地材料的规格、型号应符合设计要求；接地体引出线的垂直部分和焊接部位应进行防腐处理（涂刷银粉漆）；接地体顶面埋设深度≥0.6m；接地引线应采用焊接连接，与接地装置连接应用镀锌螺栓连接；接地电阻不大于4Ω；漆色标志应清晰、正确、防腐完整，无遗漏。</w:t>
            </w:r>
          </w:p>
          <w:p>
            <w:pPr>
              <w:pStyle w:val="15"/>
              <w:ind w:left="0" w:leftChars="0" w:firstLine="0" w:firstLineChars="0"/>
              <w:rPr>
                <w:rFonts w:hint="eastAsia" w:hAnsi="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w:t>
            </w:r>
            <w:r>
              <w:rPr>
                <w:rFonts w:hint="eastAsia" w:hAnsi="宋体" w:cs="宋体"/>
                <w:kern w:val="0"/>
                <w:sz w:val="21"/>
                <w:szCs w:val="21"/>
                <w:highlight w:val="none"/>
                <w:lang w:val="en-US" w:eastAsia="zh-CN"/>
              </w:rPr>
              <w:t>8</w:t>
            </w:r>
            <w:r>
              <w:rPr>
                <w:rFonts w:hint="eastAsia" w:ascii="宋体" w:hAnsi="宋体" w:eastAsia="宋体" w:cs="宋体"/>
                <w:kern w:val="0"/>
                <w:sz w:val="21"/>
                <w:szCs w:val="21"/>
                <w:highlight w:val="none"/>
                <w:lang w:val="en-US" w:eastAsia="zh-CN"/>
              </w:rPr>
              <w:t>日</w:t>
            </w:r>
          </w:p>
          <w:p>
            <w:pPr>
              <w:pStyle w:val="15"/>
              <w:ind w:left="0" w:leftChars="0" w:firstLine="0" w:firstLineChars="0"/>
              <w:rPr>
                <w:rFonts w:hint="eastAsia" w:hAnsi="宋体" w:cs="宋体"/>
                <w:kern w:val="0"/>
                <w:sz w:val="21"/>
                <w:szCs w:val="21"/>
                <w:highlight w:val="none"/>
                <w:lang w:val="en-US" w:eastAsia="zh-CN"/>
              </w:rPr>
            </w:pPr>
            <w:r>
              <w:rPr>
                <w:rFonts w:hint="eastAsia" w:hAnsi="宋体" w:cs="宋体"/>
                <w:kern w:val="0"/>
                <w:sz w:val="21"/>
                <w:szCs w:val="21"/>
                <w:highlight w:val="none"/>
                <w:lang w:val="en-US" w:eastAsia="zh-CN"/>
              </w:rPr>
              <w:drawing>
                <wp:inline distT="0" distB="0" distL="114300" distR="114300">
                  <wp:extent cx="2903855" cy="4017645"/>
                  <wp:effectExtent l="0" t="0" r="4445" b="8255"/>
                  <wp:docPr id="41" name="图片 41" descr="微信图片_20220304230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203042306415"/>
                          <pic:cNvPicPr>
                            <a:picLocks noChangeAspect="1"/>
                          </pic:cNvPicPr>
                        </pic:nvPicPr>
                        <pic:blipFill>
                          <a:blip r:embed="rId22"/>
                          <a:stretch>
                            <a:fillRect/>
                          </a:stretch>
                        </pic:blipFill>
                        <pic:spPr>
                          <a:xfrm>
                            <a:off x="0" y="0"/>
                            <a:ext cx="2903855" cy="4017645"/>
                          </a:xfrm>
                          <a:prstGeom prst="rect">
                            <a:avLst/>
                          </a:prstGeom>
                        </pic:spPr>
                      </pic:pic>
                    </a:graphicData>
                  </a:graphic>
                </wp:inline>
              </w:drawing>
            </w:r>
          </w:p>
          <w:p>
            <w:pPr>
              <w:keepNext w:val="0"/>
              <w:keepLines w:val="0"/>
              <w:suppressLineNumbers w:val="0"/>
              <w:tabs>
                <w:tab w:val="left" w:pos="-52"/>
              </w:tabs>
              <w:spacing w:before="0" w:beforeAutospacing="0" w:after="0" w:afterAutospacing="0" w:line="360" w:lineRule="auto"/>
              <w:ind w:right="0"/>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7</w:t>
            </w:r>
            <w:r>
              <w:rPr>
                <w:rFonts w:hint="eastAsia" w:ascii="宋体" w:hAnsi="宋体" w:eastAsia="宋体" w:cs="宋体"/>
                <w:b/>
                <w:bCs/>
                <w:kern w:val="0"/>
                <w:sz w:val="21"/>
                <w:szCs w:val="21"/>
                <w:highlight w:val="none"/>
                <w:lang w:val="en-US" w:eastAsia="zh-CN"/>
              </w:rPr>
              <w:t>、查426-10井场出油管线压力变送器安装、网络安装工程：</w:t>
            </w:r>
          </w:p>
          <w:p>
            <w:pPr>
              <w:pStyle w:val="1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提供的《RTU柜安装工程检验批质量验收记录》：位置应正确，配件应齐全，箱体开孔引发合适，切口应整齐，油漆应完好；暗配式箱盖应紧贴墙面四周无缝隙；箱内光纤接线应整齐，回路编号应齐全、正确，绝缘良好；照明工程的漏电保护装置应做模拟动作试验，漏电保护装置动作电流不应大于30mA,动作时间不大于0.1s；箱、盘应安装牢固，垂直度允许偏差为1.5‰；底边距地面为1.5m,照明配电板底边距地面不应小于1.8m；连接应牢固、紧密，不应伤芯线和断股，压头应压紧；开关切断相线和螺口灯头相线应接在中心触电；导线进入器具内，应留有适当余量，绝缘保护应良好；同一端子上导线连接不应多于2根，防松垫圈等零件应齐全。</w:t>
            </w:r>
          </w:p>
          <w:p>
            <w:pPr>
              <w:pStyle w:val="1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hAnsi="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 xml:space="preserve">   验收结果为</w:t>
            </w:r>
            <w:r>
              <w:rPr>
                <w:rFonts w:hint="eastAsia" w:ascii="宋体" w:hAnsi="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rPr>
              <w:t>符合要求；</w:t>
            </w:r>
            <w:r>
              <w:rPr>
                <w:rFonts w:hint="eastAsia" w:ascii="宋体" w:hAnsi="宋体" w:cs="宋体"/>
                <w:kern w:val="0"/>
                <w:sz w:val="21"/>
                <w:szCs w:val="21"/>
                <w:highlight w:val="none"/>
                <w:lang w:val="en-US" w:eastAsia="zh-CN"/>
              </w:rPr>
              <w:t>项目专项质量监督员</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张维汉；</w:t>
            </w:r>
            <w:r>
              <w:rPr>
                <w:rFonts w:hint="eastAsia" w:ascii="宋体" w:hAnsi="宋体" w:eastAsia="宋体" w:cs="宋体"/>
                <w:kern w:val="0"/>
                <w:sz w:val="21"/>
                <w:szCs w:val="21"/>
                <w:highlight w:val="none"/>
                <w:lang w:val="en-US" w:eastAsia="zh-CN"/>
              </w:rPr>
              <w:t>监理工程师：</w:t>
            </w:r>
            <w:r>
              <w:rPr>
                <w:rFonts w:hint="eastAsia" w:ascii="宋体" w:hAnsi="宋体" w:cs="宋体"/>
                <w:kern w:val="0"/>
                <w:sz w:val="21"/>
                <w:szCs w:val="21"/>
                <w:highlight w:val="none"/>
                <w:lang w:val="en-US" w:eastAsia="zh-CN"/>
              </w:rPr>
              <w:t>李生杰</w:t>
            </w:r>
            <w:r>
              <w:rPr>
                <w:rFonts w:hint="eastAsia" w:ascii="宋体" w:hAnsi="宋体" w:eastAsia="宋体" w:cs="宋体"/>
                <w:kern w:val="0"/>
                <w:sz w:val="21"/>
                <w:szCs w:val="21"/>
                <w:highlight w:val="none"/>
                <w:lang w:val="en-US" w:eastAsia="zh-CN"/>
              </w:rPr>
              <w:t>，202</w:t>
            </w:r>
            <w:r>
              <w:rPr>
                <w:rFonts w:hint="eastAsia" w:ascii="宋体" w:hAnsi="宋体" w:cs="宋体"/>
                <w:kern w:val="0"/>
                <w:sz w:val="21"/>
                <w:szCs w:val="21"/>
                <w:highlight w:val="none"/>
                <w:lang w:val="en-US" w:eastAsia="zh-CN"/>
              </w:rPr>
              <w:t>1</w:t>
            </w:r>
            <w:r>
              <w:rPr>
                <w:rFonts w:hint="eastAsia" w:ascii="宋体" w:hAnsi="宋体" w:eastAsia="宋体" w:cs="宋体"/>
                <w:kern w:val="0"/>
                <w:sz w:val="21"/>
                <w:szCs w:val="21"/>
                <w:highlight w:val="none"/>
                <w:lang w:val="en-US" w:eastAsia="zh-CN"/>
              </w:rPr>
              <w:t>年</w:t>
            </w:r>
            <w:r>
              <w:rPr>
                <w:rFonts w:hint="eastAsia" w:ascii="宋体" w:hAnsi="宋体" w:cs="宋体"/>
                <w:kern w:val="0"/>
                <w:sz w:val="21"/>
                <w:szCs w:val="21"/>
                <w:highlight w:val="none"/>
                <w:lang w:val="en-US" w:eastAsia="zh-CN"/>
              </w:rPr>
              <w:t>6</w:t>
            </w:r>
            <w:r>
              <w:rPr>
                <w:rFonts w:hint="eastAsia" w:ascii="宋体" w:hAnsi="宋体" w:eastAsia="宋体" w:cs="宋体"/>
                <w:kern w:val="0"/>
                <w:sz w:val="21"/>
                <w:szCs w:val="21"/>
                <w:highlight w:val="none"/>
                <w:lang w:val="en-US" w:eastAsia="zh-CN"/>
              </w:rPr>
              <w:t>月</w:t>
            </w:r>
            <w:r>
              <w:rPr>
                <w:rFonts w:hint="eastAsia" w:ascii="宋体" w:hAnsi="宋体" w:cs="宋体"/>
                <w:kern w:val="0"/>
                <w:sz w:val="21"/>
                <w:szCs w:val="21"/>
                <w:highlight w:val="none"/>
                <w:lang w:val="en-US" w:eastAsia="zh-CN"/>
              </w:rPr>
              <w:t>1</w:t>
            </w:r>
            <w:r>
              <w:rPr>
                <w:rFonts w:hint="eastAsia" w:hAnsi="宋体" w:cs="宋体"/>
                <w:kern w:val="0"/>
                <w:sz w:val="21"/>
                <w:szCs w:val="21"/>
                <w:highlight w:val="none"/>
                <w:lang w:val="en-US" w:eastAsia="zh-CN"/>
              </w:rPr>
              <w:t>8</w:t>
            </w:r>
            <w:r>
              <w:rPr>
                <w:rFonts w:hint="eastAsia" w:ascii="宋体" w:hAnsi="宋体" w:eastAsia="宋体" w:cs="宋体"/>
                <w:kern w:val="0"/>
                <w:sz w:val="21"/>
                <w:szCs w:val="21"/>
                <w:highlight w:val="none"/>
                <w:lang w:val="en-US" w:eastAsia="zh-CN"/>
              </w:rPr>
              <w:t>日</w:t>
            </w:r>
          </w:p>
          <w:p>
            <w:pPr>
              <w:pStyle w:val="15"/>
              <w:ind w:left="0" w:leftChars="0" w:firstLine="0" w:firstLineChars="0"/>
              <w:rPr>
                <w:rFonts w:hint="eastAsia" w:hAnsi="宋体" w:cs="宋体"/>
                <w:kern w:val="0"/>
                <w:sz w:val="21"/>
                <w:szCs w:val="21"/>
                <w:highlight w:val="none"/>
                <w:lang w:val="en-US" w:eastAsia="zh-CN"/>
              </w:rPr>
            </w:pPr>
            <w:r>
              <w:rPr>
                <w:rFonts w:hint="eastAsia" w:hAnsi="宋体" w:cs="宋体"/>
                <w:kern w:val="0"/>
                <w:sz w:val="21"/>
                <w:szCs w:val="21"/>
                <w:highlight w:val="none"/>
                <w:lang w:val="en-US" w:eastAsia="zh-CN"/>
              </w:rPr>
              <w:drawing>
                <wp:inline distT="0" distB="0" distL="114300" distR="114300">
                  <wp:extent cx="2343785" cy="3286760"/>
                  <wp:effectExtent l="0" t="0" r="5715" b="2540"/>
                  <wp:docPr id="42" name="图片 42" descr="微信图片_20220304230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03042306414"/>
                          <pic:cNvPicPr>
                            <a:picLocks noChangeAspect="1"/>
                          </pic:cNvPicPr>
                        </pic:nvPicPr>
                        <pic:blipFill>
                          <a:blip r:embed="rId23"/>
                          <a:stretch>
                            <a:fillRect/>
                          </a:stretch>
                        </pic:blipFill>
                        <pic:spPr>
                          <a:xfrm>
                            <a:off x="0" y="0"/>
                            <a:ext cx="2343785" cy="3286760"/>
                          </a:xfrm>
                          <a:prstGeom prst="rect">
                            <a:avLst/>
                          </a:prstGeom>
                        </pic:spPr>
                      </pic:pic>
                    </a:graphicData>
                  </a:graphic>
                </wp:inline>
              </w:drawing>
            </w:r>
          </w:p>
          <w:p>
            <w:pPr>
              <w:pStyle w:val="15"/>
              <w:ind w:left="0" w:leftChars="0" w:firstLine="420" w:firstLineChars="200"/>
              <w:rPr>
                <w:color w:val="auto"/>
                <w:sz w:val="21"/>
                <w:szCs w:val="21"/>
              </w:rPr>
            </w:pPr>
            <w:r>
              <w:rPr>
                <w:rFonts w:hint="eastAsia" w:hAnsi="宋体" w:cs="宋体"/>
                <w:kern w:val="0"/>
                <w:sz w:val="21"/>
                <w:szCs w:val="21"/>
                <w:highlight w:val="none"/>
                <w:lang w:val="en-US" w:eastAsia="zh-CN"/>
              </w:rPr>
              <w:t>视频看到</w:t>
            </w:r>
            <w:r>
              <w:rPr>
                <w:rFonts w:hint="eastAsia" w:asciiTheme="minorEastAsia" w:hAnsiTheme="minorEastAsia" w:eastAsiaTheme="minorEastAsia" w:cstheme="minorEastAsia"/>
                <w:b w:val="0"/>
                <w:bCs w:val="0"/>
                <w:color w:val="auto"/>
                <w:sz w:val="21"/>
                <w:szCs w:val="21"/>
                <w:lang w:val="en-US" w:eastAsia="zh-CN"/>
              </w:rPr>
              <w:t>徐49-20井场，员工</w:t>
            </w:r>
            <w:r>
              <w:rPr>
                <w:rFonts w:hint="eastAsia"/>
                <w:lang w:val="en-US" w:eastAsia="zh-CN"/>
              </w:rPr>
              <w:t>蔡明瑞正在安装调试经常物联网系统，员工</w:t>
            </w:r>
            <w:r>
              <w:rPr>
                <w:rFonts w:hint="eastAsia"/>
                <w:lang w:eastAsia="zh-CN"/>
              </w:rPr>
              <w:t>赵永永</w:t>
            </w:r>
            <w:r>
              <w:rPr>
                <w:rFonts w:hint="eastAsia"/>
                <w:lang w:val="en-US" w:eastAsia="zh-CN"/>
              </w:rPr>
              <w:t>正在安装调试油井压力变送器</w:t>
            </w:r>
            <w:r>
              <w:rPr>
                <w:rFonts w:hint="eastAsia" w:asciiTheme="minorEastAsia" w:hAnsiTheme="minorEastAsia" w:eastAsiaTheme="minorEastAsia" w:cstheme="minorEastAsia"/>
                <w:b w:val="0"/>
                <w:bCs w:val="0"/>
                <w:color w:val="auto"/>
                <w:sz w:val="21"/>
                <w:szCs w:val="21"/>
                <w:lang w:val="en-US" w:eastAsia="zh-CN"/>
              </w:rPr>
              <w:t>，查看相关施工、检查记录，满足要求。</w:t>
            </w:r>
          </w:p>
        </w:tc>
        <w:tc>
          <w:tcPr>
            <w:tcW w:w="1585" w:type="dxa"/>
          </w:tcPr>
          <w:p>
            <w:r>
              <w:rPr>
                <w:rFonts w:hint="eastAsia"/>
              </w:rPr>
              <w:t>Y</w:t>
            </w:r>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pacing w:line="360" w:lineRule="auto"/>
              <w:rPr>
                <w:rFonts w:ascii="宋体" w:hAnsi="宋体" w:cs="Arial"/>
                <w:color w:val="auto"/>
                <w:szCs w:val="21"/>
              </w:rPr>
            </w:pPr>
            <w:r>
              <w:rPr>
                <w:rFonts w:hint="eastAsia" w:ascii="宋体" w:hAnsi="宋体" w:cs="Arial"/>
                <w:color w:val="auto"/>
                <w:szCs w:val="21"/>
              </w:rPr>
              <w:t>放行</w:t>
            </w: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hint="eastAsia" w:ascii="宋体" w:hAnsi="宋体" w:cs="Arial"/>
                <w:color w:val="auto"/>
                <w:szCs w:val="21"/>
              </w:rPr>
            </w:pPr>
          </w:p>
          <w:p>
            <w:pPr>
              <w:spacing w:line="360" w:lineRule="auto"/>
              <w:rPr>
                <w:rFonts w:ascii="宋体" w:hAnsi="宋体" w:cs="Arial"/>
                <w:color w:val="auto"/>
                <w:szCs w:val="21"/>
              </w:rPr>
            </w:pPr>
          </w:p>
        </w:tc>
        <w:tc>
          <w:tcPr>
            <w:tcW w:w="960" w:type="dxa"/>
            <w:vAlign w:val="top"/>
          </w:tcPr>
          <w:p>
            <w:pPr>
              <w:spacing w:line="360" w:lineRule="auto"/>
              <w:rPr>
                <w:rFonts w:ascii="宋体" w:hAnsi="宋体" w:cs="Arial"/>
                <w:color w:val="auto"/>
                <w:szCs w:val="21"/>
              </w:rPr>
            </w:pPr>
            <w:r>
              <w:rPr>
                <w:rFonts w:hint="eastAsia" w:ascii="宋体" w:hAnsi="宋体" w:cs="Arial"/>
                <w:color w:val="auto"/>
                <w:szCs w:val="21"/>
              </w:rPr>
              <w:t>Q</w:t>
            </w:r>
            <w:r>
              <w:rPr>
                <w:rFonts w:ascii="宋体" w:hAnsi="宋体" w:cs="Arial"/>
                <w:color w:val="auto"/>
                <w:szCs w:val="21"/>
              </w:rPr>
              <w:t>8.6</w:t>
            </w: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hint="eastAsia" w:ascii="宋体" w:hAnsi="宋体" w:cs="Arial"/>
                <w:color w:val="auto"/>
                <w:szCs w:val="21"/>
              </w:rPr>
            </w:pPr>
          </w:p>
          <w:p>
            <w:pPr>
              <w:spacing w:line="360" w:lineRule="auto"/>
              <w:rPr>
                <w:rFonts w:ascii="宋体" w:hAnsi="宋体" w:cs="Arial"/>
                <w:color w:val="auto"/>
                <w:szCs w:val="21"/>
              </w:rPr>
            </w:pPr>
          </w:p>
        </w:tc>
        <w:tc>
          <w:tcPr>
            <w:tcW w:w="10004" w:type="dxa"/>
            <w:vAlign w:val="center"/>
          </w:tcPr>
          <w:p>
            <w:pPr>
              <w:keepNext w:val="0"/>
              <w:keepLines w:val="0"/>
              <w:suppressLineNumbers w:val="0"/>
              <w:tabs>
                <w:tab w:val="left" w:pos="6597"/>
              </w:tabs>
              <w:spacing w:before="0" w:beforeAutospacing="0" w:after="0" w:afterAutospacing="0" w:line="360" w:lineRule="auto"/>
              <w:ind w:left="0" w:right="-6" w:rightChars="-3"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为确保采购物资符合要求，对采购物资实施验证活动；暂无在供方处验证要求，同时也没有要求在供方处进行验证。</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查：进货检验，</w:t>
            </w:r>
            <w:r>
              <w:rPr>
                <w:rFonts w:hint="eastAsia"/>
                <w:lang w:val="en-US" w:eastAsia="zh-CN"/>
              </w:rPr>
              <w:t>《</w:t>
            </w:r>
            <w:r>
              <w:rPr>
                <w:rFonts w:hint="eastAsia"/>
              </w:rPr>
              <w:t>进货检验记录表</w:t>
            </w:r>
            <w:r>
              <w:rPr>
                <w:rFonts w:hint="eastAsia"/>
                <w:lang w:val="en-US" w:eastAsia="zh-CN"/>
              </w:rPr>
              <w:t>》2021年10月21日，产品包含：</w:t>
            </w:r>
            <w:r>
              <w:rPr>
                <w:rFonts w:hint="eastAsia" w:ascii="Times New Roman" w:hAnsi="Times New Roman" w:cs="Times New Roman"/>
                <w:szCs w:val="22"/>
                <w:lang w:val="en-US" w:eastAsia="zh-CN"/>
              </w:rPr>
              <w:t>1台2088G/S22A1B4E5压力变送器、1台一光</w:t>
            </w:r>
            <w:r>
              <w:rPr>
                <w:rFonts w:hint="eastAsia" w:asciiTheme="minorEastAsia" w:hAnsiTheme="minorEastAsia" w:eastAsiaTheme="minorEastAsia" w:cstheme="minorEastAsia"/>
                <w:sz w:val="21"/>
                <w:szCs w:val="21"/>
                <w:lang w:val="en-US" w:eastAsia="zh-CN"/>
              </w:rPr>
              <w:t>电 KIEN1005-S（M）-4TX交换机、1套 EN-66+VS-50W叭及功放、1台VP3040H一体化云台摄像机、1套AT-220∶井场智能视频服务器。检查内容：数量、质量证明文件、到货日期、型号、外观，检验人：蔡明瑞，结论：合格。</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再查《</w:t>
            </w:r>
            <w:r>
              <w:rPr>
                <w:rFonts w:hint="eastAsia" w:asciiTheme="minorEastAsia" w:hAnsiTheme="minorEastAsia" w:eastAsiaTheme="minorEastAsia" w:cstheme="minorEastAsia"/>
                <w:sz w:val="21"/>
                <w:szCs w:val="21"/>
              </w:rPr>
              <w:t>进货检验记录表</w:t>
            </w:r>
            <w:r>
              <w:rPr>
                <w:rFonts w:hint="eastAsia" w:asciiTheme="minorEastAsia" w:hAnsiTheme="minorEastAsia" w:eastAsiaTheme="minorEastAsia" w:cstheme="minorEastAsia"/>
                <w:sz w:val="21"/>
                <w:szCs w:val="21"/>
                <w:lang w:val="en-US" w:eastAsia="zh-CN"/>
              </w:rPr>
              <w:t>》2021年10月28日，产品包含：</w:t>
            </w:r>
            <w:r>
              <w:rPr>
                <w:rFonts w:hint="eastAsia" w:asciiTheme="minorEastAsia" w:hAnsiTheme="minorEastAsia" w:eastAsiaTheme="minorEastAsia" w:cstheme="minorEastAsia"/>
                <w:sz w:val="21"/>
                <w:szCs w:val="21"/>
              </w:rPr>
              <w:t>600</w:t>
            </w:r>
            <w:r>
              <w:rPr>
                <w:rFonts w:hint="eastAsia" w:asciiTheme="minorEastAsia" w:hAnsiTheme="minorEastAsia" w:eastAsiaTheme="minorEastAsia" w:cstheme="minorEastAsia"/>
                <w:sz w:val="21"/>
                <w:szCs w:val="21"/>
                <w:lang w:val="en-US" w:eastAsia="zh-CN"/>
              </w:rPr>
              <w:t>件</w:t>
            </w:r>
            <w:r>
              <w:rPr>
                <w:rFonts w:hint="eastAsia" w:asciiTheme="minorEastAsia" w:hAnsiTheme="minorEastAsia" w:eastAsiaTheme="minorEastAsia" w:cstheme="minorEastAsia"/>
                <w:sz w:val="21"/>
                <w:szCs w:val="21"/>
              </w:rPr>
              <w:t>YJV22 3*25+1*16电缆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1000</w:t>
            </w:r>
            <w:r>
              <w:rPr>
                <w:rFonts w:hint="eastAsia" w:asciiTheme="minorEastAsia" w:hAnsiTheme="minorEastAsia" w:eastAsiaTheme="minorEastAsia" w:cstheme="minorEastAsia"/>
                <w:sz w:val="21"/>
                <w:szCs w:val="21"/>
                <w:lang w:val="en-US" w:eastAsia="zh-CN"/>
              </w:rPr>
              <w:t>件</w:t>
            </w:r>
            <w:r>
              <w:rPr>
                <w:rFonts w:hint="eastAsia" w:asciiTheme="minorEastAsia" w:hAnsiTheme="minorEastAsia" w:eastAsiaTheme="minorEastAsia" w:cstheme="minorEastAsia"/>
                <w:sz w:val="21"/>
                <w:szCs w:val="21"/>
              </w:rPr>
              <w:t>KWVRP 2*1.5</w:t>
            </w:r>
            <w:r>
              <w:rPr>
                <w:rFonts w:hint="eastAsia" w:asciiTheme="minorEastAsia" w:hAnsiTheme="minorEastAsia" w:eastAsiaTheme="minorEastAsia" w:cstheme="minorEastAsia"/>
                <w:sz w:val="21"/>
                <w:szCs w:val="21"/>
                <w:lang w:val="en-US" w:eastAsia="zh-CN"/>
              </w:rPr>
              <w:t>电缆、525件</w:t>
            </w:r>
            <w:r>
              <w:rPr>
                <w:rFonts w:hint="eastAsia" w:asciiTheme="minorEastAsia" w:hAnsiTheme="minorEastAsia" w:eastAsiaTheme="minorEastAsia" w:cstheme="minorEastAsia"/>
                <w:sz w:val="21"/>
                <w:szCs w:val="21"/>
              </w:rPr>
              <w:t>KVVR 3*2.5</w:t>
            </w:r>
            <w:r>
              <w:rPr>
                <w:rFonts w:hint="eastAsia" w:asciiTheme="minorEastAsia" w:hAnsiTheme="minorEastAsia" w:eastAsiaTheme="minorEastAsia" w:cstheme="minorEastAsia"/>
                <w:sz w:val="21"/>
                <w:szCs w:val="21"/>
                <w:lang w:val="en-US" w:eastAsia="zh-CN"/>
              </w:rPr>
              <w:t>电缆…… 检查内容：数量、质量证明文件、到货日期、型号、外观，检验人：蔡明瑞，结论：合格。</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过程检验详见8.5.1条款。</w:t>
            </w:r>
          </w:p>
          <w:p>
            <w:pPr>
              <w:keepNext w:val="0"/>
              <w:keepLines w:val="0"/>
              <w:suppressLineNumbers w:val="0"/>
              <w:spacing w:before="0" w:beforeAutospacing="0" w:after="0" w:afterAutospacing="0" w:line="360" w:lineRule="auto"/>
              <w:ind w:left="0" w:right="-6" w:rightChars="-3" w:firstLine="4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根据工程部门武晓伟经理介绍，井场物联网施工项目完成后，交由甲方现场验收；提供的《工程验收确认单》、《工程竣工结算单》。</w:t>
            </w:r>
          </w:p>
          <w:p>
            <w:pPr>
              <w:pStyle w:val="3"/>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drawing>
                <wp:inline distT="0" distB="0" distL="114300" distR="114300">
                  <wp:extent cx="2617470" cy="3702050"/>
                  <wp:effectExtent l="0" t="0" r="11430" b="6350"/>
                  <wp:docPr id="1" name="图片 1" descr="工程验收确认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工程验收确认单1"/>
                          <pic:cNvPicPr>
                            <a:picLocks noChangeAspect="1"/>
                          </pic:cNvPicPr>
                        </pic:nvPicPr>
                        <pic:blipFill>
                          <a:blip r:embed="rId24"/>
                          <a:stretch>
                            <a:fillRect/>
                          </a:stretch>
                        </pic:blipFill>
                        <pic:spPr>
                          <a:xfrm>
                            <a:off x="0" y="0"/>
                            <a:ext cx="2617470" cy="3702050"/>
                          </a:xfrm>
                          <a:prstGeom prst="rect">
                            <a:avLst/>
                          </a:prstGeom>
                        </pic:spPr>
                      </pic:pic>
                    </a:graphicData>
                  </a:graphic>
                </wp:inline>
              </w:drawing>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lang w:val="en-US" w:eastAsia="zh-CN"/>
              </w:rPr>
              <w:drawing>
                <wp:inline distT="0" distB="0" distL="114300" distR="114300">
                  <wp:extent cx="2605405" cy="3685540"/>
                  <wp:effectExtent l="0" t="0" r="10795" b="10160"/>
                  <wp:docPr id="13" name="图片 13" descr="工程验收确认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程验收确认单2"/>
                          <pic:cNvPicPr>
                            <a:picLocks noChangeAspect="1"/>
                          </pic:cNvPicPr>
                        </pic:nvPicPr>
                        <pic:blipFill>
                          <a:blip r:embed="rId25"/>
                          <a:stretch>
                            <a:fillRect/>
                          </a:stretch>
                        </pic:blipFill>
                        <pic:spPr>
                          <a:xfrm>
                            <a:off x="0" y="0"/>
                            <a:ext cx="2605405" cy="3685540"/>
                          </a:xfrm>
                          <a:prstGeom prst="rect">
                            <a:avLst/>
                          </a:prstGeom>
                        </pic:spPr>
                      </pic:pic>
                    </a:graphicData>
                  </a:graphic>
                </wp:inline>
              </w:drawing>
            </w: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p>
          <w:p>
            <w:pPr>
              <w:pStyle w:val="4"/>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drawing>
                <wp:inline distT="0" distB="0" distL="114300" distR="114300">
                  <wp:extent cx="5030470" cy="3557270"/>
                  <wp:effectExtent l="0" t="0" r="11430" b="11430"/>
                  <wp:docPr id="19" name="图片 19" descr="决算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决算书"/>
                          <pic:cNvPicPr>
                            <a:picLocks noChangeAspect="1"/>
                          </pic:cNvPicPr>
                        </pic:nvPicPr>
                        <pic:blipFill>
                          <a:blip r:embed="rId26"/>
                          <a:stretch>
                            <a:fillRect/>
                          </a:stretch>
                        </pic:blipFill>
                        <pic:spPr>
                          <a:xfrm>
                            <a:off x="0" y="0"/>
                            <a:ext cx="5030470" cy="3557270"/>
                          </a:xfrm>
                          <a:prstGeom prst="rect">
                            <a:avLst/>
                          </a:prstGeom>
                        </pic:spPr>
                      </pic:pic>
                    </a:graphicData>
                  </a:graphic>
                </wp:inline>
              </w:drawing>
            </w:r>
          </w:p>
          <w:p>
            <w:pPr>
              <w:keepNext w:val="0"/>
              <w:keepLines w:val="0"/>
              <w:suppressLineNumbers w:val="0"/>
              <w:spacing w:before="0" w:beforeAutospacing="0" w:after="0" w:afterAutospacing="0" w:line="360" w:lineRule="auto"/>
              <w:ind w:left="0" w:right="-6" w:rightChars="-3"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经验证后的</w:t>
            </w:r>
            <w:r>
              <w:rPr>
                <w:rFonts w:hint="eastAsia" w:asciiTheme="minorEastAsia" w:hAnsiTheme="minorEastAsia" w:eastAsiaTheme="minorEastAsia" w:cstheme="minorEastAsia"/>
                <w:sz w:val="21"/>
                <w:szCs w:val="21"/>
                <w:lang w:val="en-US" w:eastAsia="zh-CN"/>
              </w:rPr>
              <w:t>服务</w:t>
            </w:r>
            <w:r>
              <w:rPr>
                <w:rFonts w:hint="eastAsia" w:asciiTheme="minorEastAsia" w:hAnsiTheme="minorEastAsia" w:eastAsiaTheme="minorEastAsia" w:cstheme="minorEastAsia"/>
                <w:sz w:val="21"/>
                <w:szCs w:val="21"/>
              </w:rPr>
              <w:t>，由技术人员进行相关全套资料的整理，在整理过程中查看内容是否正确，全套资料整理完成后递交</w:t>
            </w:r>
            <w:r>
              <w:rPr>
                <w:rFonts w:hint="eastAsia" w:asciiTheme="minorEastAsia" w:hAnsiTheme="minorEastAsia" w:eastAsiaTheme="minorEastAsia" w:cstheme="minorEastAsia"/>
                <w:sz w:val="21"/>
                <w:szCs w:val="21"/>
                <w:lang w:val="en-US" w:eastAsia="zh-CN"/>
              </w:rPr>
              <w:t>工程</w:t>
            </w:r>
            <w:r>
              <w:rPr>
                <w:rFonts w:hint="eastAsia" w:asciiTheme="minorEastAsia" w:hAnsiTheme="minorEastAsia" w:eastAsiaTheme="minorEastAsia" w:cstheme="minorEastAsia"/>
                <w:sz w:val="21"/>
                <w:szCs w:val="21"/>
              </w:rPr>
              <w:t>部经理和总经理进行复核，确认无误后才交付。</w:t>
            </w:r>
          </w:p>
          <w:p>
            <w:pPr>
              <w:keepNext w:val="0"/>
              <w:keepLines w:val="0"/>
              <w:suppressLineNumbers w:val="0"/>
              <w:spacing w:before="0" w:beforeAutospacing="0" w:after="0" w:afterAutospacing="0" w:line="360" w:lineRule="auto"/>
              <w:ind w:left="0" w:right="0" w:firstLine="420" w:firstLineChars="200"/>
              <w:rPr>
                <w:rFonts w:ascii="宋体" w:hAnsi="宋体" w:cs="宋体"/>
                <w:color w:val="FF0000"/>
                <w:sz w:val="21"/>
                <w:szCs w:val="21"/>
              </w:rPr>
            </w:pPr>
            <w:r>
              <w:rPr>
                <w:rFonts w:hint="eastAsia" w:asciiTheme="minorEastAsia" w:hAnsiTheme="minorEastAsia" w:eastAsiaTheme="minorEastAsia" w:cstheme="minorEastAsia"/>
                <w:sz w:val="21"/>
                <w:szCs w:val="21"/>
              </w:rPr>
              <w:t>客户验收合格的项目由公司出具报告并备案存档</w:t>
            </w:r>
            <w:r>
              <w:rPr>
                <w:rFonts w:hint="eastAsia" w:asciiTheme="minorEastAsia" w:hAnsiTheme="minorEastAsia" w:eastAsiaTheme="minorEastAsia" w:cstheme="minorEastAsia"/>
                <w:sz w:val="21"/>
                <w:szCs w:val="21"/>
                <w:lang w:val="en-US" w:eastAsia="zh-CN"/>
              </w:rPr>
              <w:t>。</w:t>
            </w:r>
          </w:p>
        </w:tc>
        <w:tc>
          <w:tcPr>
            <w:tcW w:w="1585" w:type="dxa"/>
          </w:tcPr>
          <w:p>
            <w:r>
              <w:rPr>
                <w:rFonts w:hint="eastAsia"/>
              </w:rPr>
              <w:t>Y</w:t>
            </w:r>
          </w:p>
        </w:tc>
      </w:tr>
    </w:tbl>
    <w:p>
      <w:r>
        <w:ptab w:relativeTo="margin" w:alignment="center" w:leader="none"/>
      </w:r>
    </w:p>
    <w:p>
      <w:pPr>
        <w:pStyle w:val="13"/>
        <w:rPr>
          <w:rFonts w:hint="eastAsia"/>
        </w:rPr>
      </w:pPr>
      <w:r>
        <w:rPr>
          <w:rFonts w:hint="eastAsia"/>
        </w:rPr>
        <w:t>说明：不符合标注N</w:t>
      </w:r>
    </w:p>
    <w:p>
      <w:pPr>
        <w:rPr>
          <w:rFonts w:hint="eastAsia"/>
        </w:rPr>
      </w:pPr>
      <w:r>
        <w:rPr>
          <w:rFonts w:hint="eastAsia"/>
        </w:rPr>
        <w:br w:type="page"/>
      </w:r>
    </w:p>
    <w:p>
      <w:pPr>
        <w:spacing w:line="480" w:lineRule="exact"/>
        <w:jc w:val="center"/>
      </w:pPr>
      <w:r>
        <w:rPr>
          <w:rFonts w:hint="eastAsia" w:asciiTheme="minorEastAsia" w:hAnsiTheme="minorEastAsia" w:eastAsiaTheme="minorEastAsia" w:cstheme="minorEastAsia"/>
          <w:bCs/>
          <w:color w:val="000000"/>
          <w:sz w:val="36"/>
          <w:szCs w:val="36"/>
        </w:rPr>
        <w:t>管理体系审核记录表</w:t>
      </w:r>
    </w:p>
    <w:tbl>
      <w:tblPr>
        <w:tblStyle w:val="16"/>
        <w:tblW w:w="14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965"/>
        <w:gridCol w:w="1092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restart"/>
            <w:vAlign w:val="center"/>
          </w:tcPr>
          <w:p>
            <w:pPr>
              <w:spacing w:before="12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过程与活动、</w:t>
            </w:r>
          </w:p>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抽样计划</w:t>
            </w:r>
          </w:p>
        </w:tc>
        <w:tc>
          <w:tcPr>
            <w:tcW w:w="965" w:type="dxa"/>
            <w:vMerge w:val="restart"/>
            <w:vAlign w:val="center"/>
          </w:tcPr>
          <w:p>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涉及</w:t>
            </w:r>
          </w:p>
          <w:p>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条款</w:t>
            </w:r>
          </w:p>
        </w:tc>
        <w:tc>
          <w:tcPr>
            <w:tcW w:w="10927" w:type="dxa"/>
            <w:vAlign w:val="center"/>
          </w:tcPr>
          <w:p>
            <w:pPr>
              <w:rPr>
                <w:rFonts w:hint="eastAsia" w:ascii="Times New Roman" w:hAnsi="Times New Roman" w:cs="Times New Roman"/>
                <w:szCs w:val="22"/>
                <w:highlight w:val="none"/>
                <w:lang w:eastAsia="zh-CN"/>
              </w:rPr>
            </w:pPr>
            <w:r>
              <w:rPr>
                <w:rFonts w:ascii="Times New Roman" w:hAnsi="Times New Roman" w:cs="Times New Roman"/>
                <w:szCs w:val="22"/>
                <w:highlight w:val="none"/>
              </w:rPr>
              <w:t>受审核部门：</w:t>
            </w:r>
            <w:r>
              <w:rPr>
                <w:rFonts w:hint="eastAsia" w:ascii="Times New Roman" w:hAnsi="Times New Roman" w:cs="Times New Roman"/>
                <w:szCs w:val="22"/>
                <w:highlight w:val="none"/>
                <w:lang w:val="en-US" w:eastAsia="zh-CN"/>
              </w:rPr>
              <w:t>工程部</w:t>
            </w:r>
            <w:r>
              <w:rPr>
                <w:rFonts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主管领导：</w:t>
            </w:r>
            <w:r>
              <w:rPr>
                <w:rFonts w:hint="eastAsia" w:ascii="Times New Roman" w:hAnsi="Times New Roman" w:cs="Times New Roman"/>
                <w:szCs w:val="22"/>
                <w:highlight w:val="none"/>
                <w:lang w:eastAsia="zh-CN"/>
              </w:rPr>
              <w:t>武晓伟</w:t>
            </w:r>
            <w:r>
              <w:rPr>
                <w:rFonts w:ascii="Times New Roman" w:hAnsi="Times New Roman" w:cs="Times New Roman"/>
                <w:szCs w:val="22"/>
                <w:highlight w:val="none"/>
              </w:rPr>
              <w:t xml:space="preserve">  </w:t>
            </w:r>
            <w:r>
              <w:rPr>
                <w:rFonts w:hint="eastAsia"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 xml:space="preserve"> 陪同人员：</w:t>
            </w:r>
            <w:r>
              <w:rPr>
                <w:rFonts w:hint="eastAsia" w:ascii="Times New Roman" w:hAnsi="Times New Roman" w:cs="Times New Roman"/>
                <w:szCs w:val="22"/>
                <w:highlight w:val="none"/>
                <w:lang w:eastAsia="zh-CN"/>
              </w:rPr>
              <w:t>焦兴武</w:t>
            </w:r>
          </w:p>
        </w:tc>
        <w:tc>
          <w:tcPr>
            <w:tcW w:w="73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73" w:type="dxa"/>
            <w:vMerge w:val="continue"/>
            <w:vAlign w:val="center"/>
          </w:tcPr>
          <w:p>
            <w:pPr>
              <w:rPr>
                <w:rFonts w:hint="eastAsia" w:asciiTheme="minorEastAsia" w:hAnsiTheme="minorEastAsia" w:eastAsiaTheme="minorEastAsia" w:cstheme="minorEastAsia"/>
                <w:sz w:val="21"/>
                <w:szCs w:val="21"/>
                <w:highlight w:val="none"/>
              </w:rPr>
            </w:pPr>
          </w:p>
        </w:tc>
        <w:tc>
          <w:tcPr>
            <w:tcW w:w="965" w:type="dxa"/>
            <w:vMerge w:val="continue"/>
            <w:vAlign w:val="center"/>
          </w:tcPr>
          <w:p>
            <w:pPr>
              <w:rPr>
                <w:rFonts w:hint="eastAsia" w:asciiTheme="minorEastAsia" w:hAnsiTheme="minorEastAsia" w:eastAsiaTheme="minorEastAsia" w:cstheme="minorEastAsia"/>
                <w:sz w:val="21"/>
                <w:szCs w:val="21"/>
                <w:highlight w:val="none"/>
              </w:rPr>
            </w:pPr>
          </w:p>
        </w:tc>
        <w:tc>
          <w:tcPr>
            <w:tcW w:w="10927" w:type="dxa"/>
            <w:vAlign w:val="center"/>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审核员：</w:t>
            </w:r>
            <w:r>
              <w:rPr>
                <w:rFonts w:hint="eastAsia" w:ascii="Times New Roman" w:hAnsi="Times New Roman" w:cs="Times New Roman"/>
                <w:szCs w:val="22"/>
                <w:highlight w:val="none"/>
                <w:lang w:val="en-US" w:eastAsia="zh-CN"/>
              </w:rPr>
              <w:t xml:space="preserve">郭力  </w:t>
            </w:r>
            <w:r>
              <w:rPr>
                <w:rFonts w:hint="eastAsia" w:cs="Times New Roman"/>
                <w:szCs w:val="22"/>
                <w:highlight w:val="none"/>
                <w:lang w:val="en-US" w:eastAsia="zh-CN"/>
              </w:rPr>
              <w:t>陈飞燕</w:t>
            </w:r>
            <w:r>
              <w:rPr>
                <w:rFonts w:hint="eastAsia" w:ascii="Times New Roman" w:hAnsi="Times New Roman" w:cs="Times New Roman"/>
                <w:szCs w:val="22"/>
                <w:highlight w:val="none"/>
                <w:lang w:val="en-US" w:eastAsia="zh-CN"/>
              </w:rPr>
              <w:t xml:space="preserve">            </w:t>
            </w:r>
            <w:r>
              <w:rPr>
                <w:rFonts w:hint="eastAsia" w:ascii="Times New Roman" w:hAnsi="Times New Roman" w:cs="Times New Roman"/>
                <w:szCs w:val="22"/>
                <w:highlight w:val="none"/>
              </w:rPr>
              <w:t>审核时间：202</w:t>
            </w:r>
            <w:r>
              <w:rPr>
                <w:rFonts w:hint="eastAsia" w:cs="Times New Roman"/>
                <w:szCs w:val="22"/>
                <w:highlight w:val="none"/>
                <w:lang w:val="en-US" w:eastAsia="zh-CN"/>
              </w:rPr>
              <w:t>2</w:t>
            </w:r>
            <w:r>
              <w:rPr>
                <w:rFonts w:hint="eastAsia" w:ascii="Times New Roman" w:hAnsi="Times New Roman" w:cs="Times New Roman"/>
                <w:szCs w:val="22"/>
                <w:highlight w:val="none"/>
              </w:rPr>
              <w:t>年</w:t>
            </w:r>
            <w:r>
              <w:rPr>
                <w:rFonts w:hint="eastAsia" w:cs="Times New Roman"/>
                <w:szCs w:val="22"/>
                <w:highlight w:val="none"/>
                <w:lang w:val="en-US" w:eastAsia="zh-CN"/>
              </w:rPr>
              <w:t>2</w:t>
            </w:r>
            <w:r>
              <w:rPr>
                <w:rFonts w:hint="eastAsia" w:ascii="Times New Roman" w:hAnsi="Times New Roman" w:cs="Times New Roman"/>
                <w:szCs w:val="22"/>
                <w:highlight w:val="none"/>
              </w:rPr>
              <w:t>月</w:t>
            </w:r>
            <w:r>
              <w:rPr>
                <w:rFonts w:hint="eastAsia" w:cs="Times New Roman"/>
                <w:szCs w:val="22"/>
                <w:highlight w:val="none"/>
                <w:lang w:val="en-US" w:eastAsia="zh-CN"/>
              </w:rPr>
              <w:t>13</w:t>
            </w:r>
            <w:r>
              <w:rPr>
                <w:rFonts w:hint="eastAsia" w:ascii="Times New Roman" w:hAnsi="Times New Roman" w:cs="Times New Roman"/>
                <w:szCs w:val="22"/>
                <w:highlight w:val="none"/>
              </w:rPr>
              <w:t>日</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73" w:type="dxa"/>
            <w:vMerge w:val="continue"/>
            <w:vAlign w:val="center"/>
          </w:tcPr>
          <w:p>
            <w:pPr>
              <w:rPr>
                <w:rFonts w:hint="eastAsia" w:asciiTheme="minorEastAsia" w:hAnsiTheme="minorEastAsia" w:eastAsiaTheme="minorEastAsia" w:cstheme="minorEastAsia"/>
                <w:sz w:val="21"/>
                <w:szCs w:val="21"/>
                <w:highlight w:val="none"/>
              </w:rPr>
            </w:pPr>
          </w:p>
        </w:tc>
        <w:tc>
          <w:tcPr>
            <w:tcW w:w="965" w:type="dxa"/>
            <w:vMerge w:val="continue"/>
            <w:vAlign w:val="center"/>
          </w:tcPr>
          <w:p>
            <w:pPr>
              <w:rPr>
                <w:rFonts w:hint="eastAsia" w:asciiTheme="minorEastAsia" w:hAnsiTheme="minorEastAsia" w:eastAsiaTheme="minorEastAsia" w:cstheme="minorEastAsia"/>
                <w:sz w:val="21"/>
                <w:szCs w:val="21"/>
                <w:highlight w:val="none"/>
              </w:rPr>
            </w:pPr>
          </w:p>
        </w:tc>
        <w:tc>
          <w:tcPr>
            <w:tcW w:w="10927" w:type="dxa"/>
            <w:vAlign w:val="center"/>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审核条款：</w:t>
            </w:r>
          </w:p>
          <w:p>
            <w:pPr>
              <w:rPr>
                <w:rFonts w:hint="eastAsia" w:ascii="Times New Roman" w:hAnsi="Times New Roman" w:cs="Times New Roman"/>
                <w:szCs w:val="22"/>
                <w:highlight w:val="none"/>
              </w:rPr>
            </w:pPr>
            <w:r>
              <w:rPr>
                <w:rFonts w:hint="eastAsia" w:ascii="Times New Roman" w:hAnsi="Times New Roman" w:cs="Times New Roman"/>
                <w:szCs w:val="22"/>
                <w:highlight w:val="none"/>
                <w:lang w:val="en-US" w:eastAsia="zh-CN"/>
              </w:rPr>
              <w:t>Q：</w:t>
            </w:r>
            <w:r>
              <w:rPr>
                <w:rFonts w:hint="eastAsia" w:ascii="Times New Roman" w:hAnsi="Times New Roman" w:cs="Times New Roman"/>
                <w:szCs w:val="22"/>
                <w:highlight w:val="none"/>
              </w:rPr>
              <w:t>6.2</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7.1.3</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7.1.4</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7.1.5</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8.1</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8.5.2</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8.5.3</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8.5.4</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8.5.5</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8.5.</w:t>
            </w:r>
            <w:r>
              <w:rPr>
                <w:rFonts w:hint="eastAsia" w:ascii="Times New Roman" w:hAnsi="Times New Roman" w:cs="Times New Roman"/>
                <w:szCs w:val="22"/>
                <w:highlight w:val="none"/>
                <w:lang w:val="en-US" w:eastAsia="zh-CN"/>
              </w:rPr>
              <w:t>6、</w:t>
            </w:r>
            <w:r>
              <w:rPr>
                <w:rFonts w:hint="eastAsia" w:ascii="Times New Roman" w:hAnsi="Times New Roman" w:cs="Times New Roman"/>
                <w:szCs w:val="22"/>
                <w:highlight w:val="none"/>
              </w:rPr>
              <w:t>8.7</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2173"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目标、指标及完成情况</w:t>
            </w:r>
          </w:p>
        </w:tc>
        <w:tc>
          <w:tcPr>
            <w:tcW w:w="965"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Q:6.2</w:t>
            </w:r>
          </w:p>
          <w:p>
            <w:pPr>
              <w:rPr>
                <w:rFonts w:hint="eastAsia" w:asciiTheme="minorEastAsia" w:hAnsiTheme="minorEastAsia" w:eastAsiaTheme="minorEastAsia" w:cstheme="minorEastAsia"/>
                <w:sz w:val="21"/>
                <w:szCs w:val="21"/>
              </w:rPr>
            </w:pPr>
          </w:p>
        </w:tc>
        <w:tc>
          <w:tcPr>
            <w:tcW w:w="10927" w:type="dxa"/>
            <w:vAlign w:val="top"/>
          </w:tcPr>
          <w:p>
            <w:pPr>
              <w:rPr>
                <w:rFonts w:hint="eastAsia" w:asciiTheme="minorEastAsia" w:hAnsiTheme="minorEastAsia" w:eastAsiaTheme="minorEastAsia" w:cstheme="minorEastAsia"/>
                <w:sz w:val="21"/>
                <w:szCs w:val="21"/>
              </w:rPr>
            </w:pPr>
            <w:r>
              <w:rPr>
                <w:rFonts w:hint="eastAsia"/>
                <w:color w:val="auto"/>
              </w:rPr>
              <w:sym w:font="Wingdings 2" w:char="F098"/>
            </w:r>
            <w:r>
              <w:rPr>
                <w:rFonts w:hint="eastAsia"/>
                <w:color w:val="auto"/>
              </w:rPr>
              <w:t>部</w:t>
            </w:r>
            <w:r>
              <w:rPr>
                <w:rFonts w:hint="eastAsia" w:asciiTheme="minorEastAsia" w:hAnsiTheme="minorEastAsia" w:eastAsiaTheme="minorEastAsia" w:cstheme="minorEastAsia"/>
                <w:sz w:val="21"/>
                <w:szCs w:val="21"/>
              </w:rPr>
              <w:t xml:space="preserve">门质量目标：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1）全年无重大人身伤亡、交通、火灾事故</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2）全年无重大设备事故</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3）合同履约率100%；</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r>
              <w:rPr>
                <w:rFonts w:hint="eastAsia" w:asciiTheme="minorEastAsia" w:hAnsiTheme="minorEastAsia" w:eastAsiaTheme="minorEastAsia" w:cstheme="minorEastAsia"/>
                <w:sz w:val="21"/>
                <w:szCs w:val="21"/>
                <w:lang w:val="en-US" w:eastAsia="zh-CN"/>
              </w:rPr>
              <w:t>施工项目</w:t>
            </w:r>
            <w:r>
              <w:rPr>
                <w:rFonts w:hint="eastAsia" w:asciiTheme="minorEastAsia" w:hAnsiTheme="minorEastAsia" w:eastAsiaTheme="minorEastAsia" w:cstheme="minorEastAsia"/>
                <w:sz w:val="21"/>
                <w:szCs w:val="21"/>
              </w:rPr>
              <w:t>合格率100%</w:t>
            </w:r>
            <w:r>
              <w:rPr>
                <w:rFonts w:hint="eastAsia" w:asciiTheme="minorEastAsia" w:hAnsiTheme="minorEastAsia" w:eastAsiaTheme="minorEastAsia" w:cstheme="minorEastAsia"/>
                <w:sz w:val="21"/>
                <w:szCs w:val="21"/>
                <w:lang w:eastAsia="zh-CN"/>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5）火灾发生为0</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6）重要环境因素及职业健康安全控制绩效：98%</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7）应急预案方案的准备和实施：100%</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8）环保、安全所需资金准备及时率100%</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抽查</w:t>
            </w:r>
            <w:r>
              <w:rPr>
                <w:rFonts w:hint="eastAsia" w:asciiTheme="minorEastAsia" w:hAnsiTheme="minorEastAsia" w:eastAsiaTheme="minorEastAsia" w:cstheme="minorEastAsia"/>
                <w:sz w:val="21"/>
                <w:szCs w:val="21"/>
                <w:lang w:val="en-US" w:eastAsia="zh-CN"/>
              </w:rPr>
              <w:t>2021年目标考核情况，已经达成目标。</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pacing w:val="10"/>
                <w:kern w:val="2"/>
                <w:sz w:val="21"/>
                <w:szCs w:val="21"/>
                <w:lang w:val="en-US" w:eastAsia="zh-CN" w:bidi="ar-SA"/>
              </w:rPr>
              <w:t>统计人：孟宏涛         审核：李苏燕         批准：周东福        日期：2022年1月4日</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top"/>
          </w:tcPr>
          <w:p>
            <w:pPr>
              <w:spacing w:line="280" w:lineRule="exact"/>
              <w:rPr>
                <w:rFonts w:hint="eastAsia" w:ascii="宋体" w:hAnsi="宋体" w:cs="宋体"/>
                <w:color w:val="auto"/>
                <w:szCs w:val="21"/>
              </w:rPr>
            </w:pPr>
            <w:r>
              <w:rPr>
                <w:rFonts w:hint="eastAsia" w:ascii="宋体" w:hAnsi="宋体" w:cs="宋体"/>
                <w:color w:val="auto"/>
                <w:szCs w:val="21"/>
              </w:rPr>
              <w:t>基础设施</w:t>
            </w:r>
          </w:p>
          <w:p>
            <w:pPr>
              <w:spacing w:line="280" w:lineRule="exact"/>
              <w:rPr>
                <w:rFonts w:hint="eastAsia" w:ascii="宋体" w:hAnsi="宋体" w:cs="宋体"/>
                <w:color w:val="auto"/>
                <w:szCs w:val="21"/>
              </w:rPr>
            </w:pPr>
            <w:r>
              <w:rPr>
                <w:rFonts w:hint="eastAsia" w:ascii="宋体" w:hAnsi="宋体" w:cs="Arial"/>
                <w:color w:val="auto"/>
                <w:sz w:val="21"/>
                <w:szCs w:val="21"/>
              </w:rPr>
              <w:t>过程运行环境</w:t>
            </w:r>
          </w:p>
          <w:p>
            <w:pPr>
              <w:spacing w:line="28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监视和测量资源管理管理</w:t>
            </w:r>
          </w:p>
        </w:tc>
        <w:tc>
          <w:tcPr>
            <w:tcW w:w="965" w:type="dxa"/>
            <w:vAlign w:val="top"/>
          </w:tcPr>
          <w:p>
            <w:pPr>
              <w:spacing w:line="280" w:lineRule="exact"/>
              <w:rPr>
                <w:rFonts w:ascii="宋体" w:hAnsi="宋体" w:cs="宋体"/>
                <w:color w:val="auto"/>
                <w:szCs w:val="21"/>
              </w:rPr>
            </w:pPr>
            <w:r>
              <w:rPr>
                <w:rFonts w:hint="eastAsia" w:ascii="宋体" w:hAnsi="宋体" w:cs="宋体"/>
                <w:color w:val="auto"/>
                <w:szCs w:val="21"/>
              </w:rPr>
              <w:t>Q</w:t>
            </w:r>
            <w:r>
              <w:rPr>
                <w:rFonts w:ascii="宋体" w:hAnsi="宋体" w:cs="宋体"/>
                <w:color w:val="auto"/>
                <w:szCs w:val="21"/>
              </w:rPr>
              <w:t>7.1.3</w:t>
            </w:r>
          </w:p>
          <w:p>
            <w:pPr>
              <w:spacing w:line="280" w:lineRule="exact"/>
              <w:rPr>
                <w:rFonts w:hint="eastAsia" w:ascii="宋体" w:hAnsi="宋体" w:eastAsia="宋体" w:cs="宋体"/>
                <w:color w:val="auto"/>
                <w:szCs w:val="21"/>
                <w:lang w:val="en-US" w:eastAsia="zh-CN"/>
              </w:rPr>
            </w:pPr>
            <w:r>
              <w:rPr>
                <w:rFonts w:hint="eastAsia" w:ascii="宋体" w:hAnsi="宋体" w:cs="宋体"/>
                <w:color w:val="auto"/>
                <w:szCs w:val="21"/>
              </w:rPr>
              <w:t>Q</w:t>
            </w:r>
            <w:r>
              <w:rPr>
                <w:rFonts w:ascii="宋体" w:hAnsi="宋体" w:cs="宋体"/>
                <w:color w:val="auto"/>
                <w:szCs w:val="21"/>
              </w:rPr>
              <w:t>7.1.</w:t>
            </w:r>
            <w:r>
              <w:rPr>
                <w:rFonts w:hint="eastAsia" w:ascii="宋体" w:hAnsi="宋体" w:cs="宋体"/>
                <w:color w:val="auto"/>
                <w:szCs w:val="21"/>
                <w:lang w:val="en-US" w:eastAsia="zh-CN"/>
              </w:rPr>
              <w:t>4</w:t>
            </w:r>
          </w:p>
          <w:p>
            <w:pPr>
              <w:spacing w:line="28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Q</w:t>
            </w:r>
            <w:r>
              <w:rPr>
                <w:rFonts w:ascii="宋体" w:hAnsi="宋体" w:cs="宋体"/>
                <w:color w:val="auto"/>
                <w:szCs w:val="21"/>
              </w:rPr>
              <w:t>7.1.5</w:t>
            </w:r>
          </w:p>
        </w:tc>
        <w:tc>
          <w:tcPr>
            <w:tcW w:w="10927" w:type="dxa"/>
            <w:vAlign w:val="center"/>
          </w:tcPr>
          <w:p>
            <w:pPr>
              <w:spacing w:line="360" w:lineRule="auto"/>
              <w:ind w:firstLine="420" w:firstLineChars="200"/>
              <w:rPr>
                <w:rFonts w:hint="eastAsia" w:ascii="宋体" w:hAnsi="宋体" w:eastAsia="宋体" w:cs="宋体"/>
                <w:szCs w:val="21"/>
              </w:rPr>
            </w:pPr>
            <w:r>
              <w:rPr>
                <w:rFonts w:hint="eastAsia"/>
              </w:rPr>
              <w:t>组织提供的</w:t>
            </w:r>
            <w:r>
              <w:rPr>
                <w:rFonts w:hint="eastAsia"/>
                <w:lang w:val="en-US" w:eastAsia="zh-CN"/>
              </w:rPr>
              <w:t>建筑机电安装工程、电子与智能化工程、防雷工程的施工、通信工程施工、仪器仪表，电子产品（建筑智能化系统工程产品）、机电产品（机电设备安装工程产品）的销售</w:t>
            </w:r>
            <w:r>
              <w:rPr>
                <w:rFonts w:hint="eastAsia"/>
              </w:rPr>
              <w:t>服务，在手册中7</w:t>
            </w:r>
            <w:r>
              <w:t>.1.3</w:t>
            </w:r>
            <w:r>
              <w:rPr>
                <w:rFonts w:hint="eastAsia"/>
              </w:rPr>
              <w:t>中对基础设施，7.1.4过程运行环境</w:t>
            </w:r>
            <w:r>
              <w:rPr>
                <w:rFonts w:hint="eastAsia"/>
                <w:lang w:eastAsia="zh-CN"/>
              </w:rPr>
              <w:t>，</w:t>
            </w:r>
            <w:r>
              <w:rPr>
                <w:rFonts w:hint="eastAsia"/>
              </w:rPr>
              <w:t>7</w:t>
            </w:r>
            <w:r>
              <w:t>.1.5</w:t>
            </w:r>
            <w:r>
              <w:rPr>
                <w:rFonts w:hint="eastAsia"/>
              </w:rPr>
              <w:t>中对监视和测量资源管理进行了规定</w:t>
            </w:r>
            <w:r>
              <w:rPr>
                <w:rFonts w:hint="eastAsia"/>
                <w:lang w:eastAsia="zh-CN"/>
              </w:rPr>
              <w:t>；</w:t>
            </w:r>
            <w:r>
              <w:rPr>
                <w:rFonts w:hint="eastAsia"/>
                <w:lang w:val="en-US" w:eastAsia="zh-CN"/>
              </w:rPr>
              <w:t>办公、销售地址为：</w:t>
            </w:r>
            <w:r>
              <w:rPr>
                <w:rFonts w:hint="eastAsia" w:ascii="宋体" w:hAnsi="宋体" w:cs="宋体"/>
                <w:szCs w:val="21"/>
              </w:rPr>
              <w:t>陕西省西安市经济技术开发区凤城九路海博广场B</w:t>
            </w:r>
            <w:r>
              <w:rPr>
                <w:rFonts w:hint="eastAsia" w:ascii="宋体" w:hAnsi="宋体" w:eastAsia="宋体" w:cs="宋体"/>
                <w:szCs w:val="21"/>
              </w:rPr>
              <w:t>座2001室；办公面积</w:t>
            </w:r>
            <w:r>
              <w:rPr>
                <w:rFonts w:hint="eastAsia" w:ascii="宋体" w:hAnsi="宋体" w:eastAsia="宋体" w:cs="宋体"/>
                <w:szCs w:val="21"/>
                <w:lang w:val="en-US" w:eastAsia="zh-CN"/>
              </w:rPr>
              <w:t>173</w:t>
            </w:r>
            <w:r>
              <w:rPr>
                <w:rFonts w:hint="eastAsia" w:ascii="宋体" w:hAnsi="宋体" w:eastAsia="宋体" w:cs="宋体"/>
                <w:szCs w:val="21"/>
              </w:rPr>
              <w:t>平米，配置了办公电脑</w:t>
            </w:r>
            <w:r>
              <w:rPr>
                <w:rFonts w:hint="eastAsia" w:ascii="宋体" w:hAnsi="宋体" w:eastAsia="宋体" w:cs="宋体"/>
                <w:szCs w:val="21"/>
                <w:lang w:val="en-US" w:eastAsia="zh-CN"/>
              </w:rPr>
              <w:t>11</w:t>
            </w:r>
            <w:r>
              <w:rPr>
                <w:rFonts w:hint="eastAsia" w:ascii="宋体" w:hAnsi="宋体" w:eastAsia="宋体" w:cs="宋体"/>
                <w:szCs w:val="21"/>
              </w:rPr>
              <w:t>台；打印/复印机2台；传真机一部，办公桌椅、文件柜配置齐全。</w:t>
            </w:r>
          </w:p>
          <w:p>
            <w:pPr>
              <w:spacing w:line="360" w:lineRule="auto"/>
              <w:ind w:firstLine="420" w:firstLineChars="200"/>
              <w:rPr>
                <w:rFonts w:hint="default"/>
                <w:lang w:val="en-US" w:eastAsia="zh-CN"/>
              </w:rPr>
            </w:pPr>
            <w:r>
              <w:rPr>
                <w:rFonts w:hint="eastAsia" w:ascii="宋体" w:hAnsi="宋体" w:cs="宋体"/>
                <w:szCs w:val="21"/>
                <w:lang w:val="en-US" w:eastAsia="zh-CN"/>
              </w:rPr>
              <w:t>该场所为法人代表自有，查其房产证，编号为：陕（2019）西安市不动产权第0251994号。</w:t>
            </w:r>
          </w:p>
          <w:p>
            <w:pPr>
              <w:spacing w:line="360" w:lineRule="auto"/>
              <w:ind w:firstLine="420" w:firstLineChars="200"/>
              <w:rPr>
                <w:rFonts w:hint="default"/>
                <w:lang w:val="en-US" w:eastAsia="zh-CN"/>
              </w:rPr>
            </w:pPr>
            <w:r>
              <w:rPr>
                <w:rFonts w:hint="eastAsia"/>
                <w:lang w:val="en-US" w:eastAsia="zh-CN"/>
              </w:rPr>
              <w:t>抽查的临时施工地址：甘肃省庆阳市华池县冉崾岘。</w:t>
            </w:r>
          </w:p>
          <w:p>
            <w:pPr>
              <w:spacing w:line="360" w:lineRule="auto"/>
              <w:ind w:firstLine="420" w:firstLineChars="200"/>
              <w:rPr>
                <w:rFonts w:hint="eastAsia"/>
              </w:rPr>
            </w:pPr>
            <w:r>
              <w:rPr>
                <w:rFonts w:hint="eastAsia"/>
              </w:rPr>
              <w:t>现场查看所涉及的设备情况，</w:t>
            </w:r>
            <w:r>
              <w:rPr>
                <w:rFonts w:hint="eastAsia"/>
                <w:lang w:val="en-US" w:eastAsia="zh-CN"/>
              </w:rPr>
              <w:t>建筑机电安装工程、电子与智能化工程、防雷工程的施工、通信工程施工、仪器仪表，电子产品（建筑智能化系统工程产品）、机电产品（机电设备安装工程产品）的销售</w:t>
            </w:r>
            <w:r>
              <w:rPr>
                <w:rFonts w:hint="eastAsia"/>
              </w:rPr>
              <w:t>过程中使用的设备：电工常用工具</w:t>
            </w:r>
            <w:r>
              <w:rPr>
                <w:rFonts w:hint="eastAsia"/>
                <w:lang w:eastAsia="zh-CN"/>
              </w:rPr>
              <w:t>、</w:t>
            </w:r>
            <w:r>
              <w:rPr>
                <w:rFonts w:hint="eastAsia"/>
              </w:rPr>
              <w:t>便携式计算机</w:t>
            </w:r>
            <w:r>
              <w:rPr>
                <w:rFonts w:hint="eastAsia"/>
                <w:lang w:eastAsia="zh-CN"/>
              </w:rPr>
              <w:t>、</w:t>
            </w:r>
            <w:r>
              <w:rPr>
                <w:rFonts w:hint="eastAsia"/>
              </w:rPr>
              <w:t>多功能信号校准仪</w:t>
            </w:r>
            <w:r>
              <w:rPr>
                <w:rFonts w:hint="eastAsia"/>
                <w:lang w:eastAsia="zh-CN"/>
              </w:rPr>
              <w:t>、</w:t>
            </w:r>
            <w:r>
              <w:rPr>
                <w:rFonts w:hint="eastAsia"/>
              </w:rPr>
              <w:t>高精度油井综合测试仪或在线式功图校准仪</w:t>
            </w:r>
            <w:r>
              <w:rPr>
                <w:rFonts w:hint="eastAsia"/>
                <w:lang w:eastAsia="zh-CN"/>
              </w:rPr>
              <w:t>、</w:t>
            </w:r>
            <w:r>
              <w:rPr>
                <w:rFonts w:hint="eastAsia"/>
              </w:rPr>
              <w:t>数字式绝缘电阻测试仪</w:t>
            </w:r>
            <w:r>
              <w:rPr>
                <w:rFonts w:hint="eastAsia"/>
                <w:lang w:eastAsia="zh-CN"/>
              </w:rPr>
              <w:t>、</w:t>
            </w:r>
            <w:r>
              <w:rPr>
                <w:rFonts w:hint="eastAsia"/>
              </w:rPr>
              <w:t>数字式接地电阻测试仪</w:t>
            </w:r>
            <w:r>
              <w:rPr>
                <w:rFonts w:hint="eastAsia"/>
                <w:lang w:eastAsia="zh-CN"/>
              </w:rPr>
              <w:t>、</w:t>
            </w:r>
            <w:r>
              <w:rPr>
                <w:rFonts w:hint="eastAsia"/>
              </w:rPr>
              <w:t>巡线侧线仪</w:t>
            </w:r>
            <w:r>
              <w:rPr>
                <w:rFonts w:hint="eastAsia"/>
                <w:lang w:eastAsia="zh-CN"/>
              </w:rPr>
              <w:t>、</w:t>
            </w:r>
            <w:r>
              <w:rPr>
                <w:rFonts w:hint="eastAsia"/>
              </w:rPr>
              <w:t>无线网络测试仪</w:t>
            </w:r>
            <w:r>
              <w:rPr>
                <w:rFonts w:hint="eastAsia"/>
                <w:lang w:eastAsia="zh-CN"/>
              </w:rPr>
              <w:t>、</w:t>
            </w:r>
            <w:r>
              <w:rPr>
                <w:rFonts w:hint="eastAsia"/>
              </w:rPr>
              <w:t>线标机</w:t>
            </w:r>
            <w:r>
              <w:rPr>
                <w:rFonts w:hint="eastAsia"/>
                <w:lang w:eastAsia="zh-CN"/>
              </w:rPr>
              <w:t>、</w:t>
            </w:r>
            <w:r>
              <w:rPr>
                <w:rFonts w:hint="eastAsia"/>
              </w:rPr>
              <w:t>防爆对讲机</w:t>
            </w:r>
            <w:r>
              <w:rPr>
                <w:rFonts w:hint="eastAsia"/>
                <w:lang w:eastAsia="zh-CN"/>
              </w:rPr>
              <w:t>、</w:t>
            </w:r>
            <w:r>
              <w:rPr>
                <w:rFonts w:hint="eastAsia"/>
              </w:rPr>
              <w:t>防爆拍照设备</w:t>
            </w:r>
            <w:r>
              <w:rPr>
                <w:rFonts w:hint="eastAsia"/>
                <w:lang w:eastAsia="zh-CN"/>
              </w:rPr>
              <w:t>、</w:t>
            </w:r>
            <w:r>
              <w:rPr>
                <w:rFonts w:hint="eastAsia"/>
              </w:rPr>
              <w:t>万用表</w:t>
            </w:r>
            <w:r>
              <w:rPr>
                <w:rFonts w:hint="eastAsia"/>
                <w:lang w:val="en-US" w:eastAsia="zh-CN"/>
              </w:rPr>
              <w:t>等</w:t>
            </w:r>
            <w:r>
              <w:rPr>
                <w:rFonts w:hint="eastAsia"/>
              </w:rPr>
              <w:t>等；上述</w:t>
            </w:r>
            <w:r>
              <w:rPr>
                <w:rFonts w:hint="eastAsia"/>
                <w:lang w:val="en-US" w:eastAsia="zh-CN"/>
              </w:rPr>
              <w:t>设备</w:t>
            </w:r>
            <w:r>
              <w:rPr>
                <w:rFonts w:hint="eastAsia"/>
              </w:rPr>
              <w:t>管理基本符合。</w:t>
            </w:r>
          </w:p>
          <w:p>
            <w:pPr>
              <w:spacing w:line="36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工程</w:t>
            </w:r>
            <w:r>
              <w:rPr>
                <w:rFonts w:hint="eastAsia" w:ascii="Times New Roman" w:hAnsi="Times New Roman" w:eastAsia="宋体" w:cs="Times New Roman"/>
                <w:szCs w:val="22"/>
              </w:rPr>
              <w:t>部将设备的日常维护保养落实到具体的操作者</w:t>
            </w:r>
            <w:r>
              <w:rPr>
                <w:rFonts w:hint="eastAsia" w:ascii="Times New Roman" w:hAnsi="Times New Roman" w:eastAsia="宋体" w:cs="Times New Roman"/>
                <w:szCs w:val="22"/>
                <w:lang w:val="en-US" w:eastAsia="zh-CN"/>
              </w:rPr>
              <w:t>，查看的接地电阻测试仪的“维护保养记录”（202</w:t>
            </w:r>
            <w:r>
              <w:rPr>
                <w:rFonts w:hint="eastAsia" w:cs="Times New Roman"/>
                <w:szCs w:val="22"/>
                <w:lang w:val="en-US" w:eastAsia="zh-CN"/>
              </w:rPr>
              <w:t>1</w:t>
            </w:r>
            <w:r>
              <w:rPr>
                <w:rFonts w:hint="eastAsia" w:ascii="Times New Roman" w:hAnsi="Times New Roman" w:eastAsia="宋体" w:cs="Times New Roman"/>
                <w:szCs w:val="22"/>
                <w:lang w:val="en-US" w:eastAsia="zh-CN"/>
              </w:rPr>
              <w:t>.9.3、202</w:t>
            </w:r>
            <w:r>
              <w:rPr>
                <w:rFonts w:hint="eastAsia" w:cs="Times New Roman"/>
                <w:szCs w:val="22"/>
                <w:lang w:val="en-US" w:eastAsia="zh-CN"/>
              </w:rPr>
              <w:t>1</w:t>
            </w:r>
            <w:r>
              <w:rPr>
                <w:rFonts w:hint="eastAsia" w:ascii="Times New Roman" w:hAnsi="Times New Roman" w:eastAsia="宋体" w:cs="Times New Roman"/>
                <w:szCs w:val="22"/>
                <w:lang w:val="en-US" w:eastAsia="zh-CN"/>
              </w:rPr>
              <w:t>.12.2），以上记录均填写完整，清晰，审批签字齐全，设备日常保养符合策划要求。</w:t>
            </w:r>
          </w:p>
          <w:p>
            <w:pPr>
              <w:spacing w:line="360" w:lineRule="auto"/>
              <w:ind w:firstLine="420" w:firstLineChars="200"/>
              <w:rPr>
                <w:rFonts w:hint="eastAsia" w:ascii="Times New Roman" w:hAnsi="Times New Roman" w:eastAsia="宋体" w:cs="Times New Roman"/>
                <w:szCs w:val="22"/>
              </w:rPr>
            </w:pPr>
            <w:r>
              <w:rPr>
                <w:rFonts w:hint="eastAsia" w:ascii="Times New Roman" w:hAnsi="Times New Roman" w:eastAsia="宋体" w:cs="Times New Roman"/>
                <w:szCs w:val="22"/>
              </w:rPr>
              <w:t>部门对基础设施的管理符合规定要求。</w:t>
            </w:r>
          </w:p>
          <w:p>
            <w:pPr>
              <w:spacing w:line="360" w:lineRule="auto"/>
              <w:ind w:firstLine="420" w:firstLineChars="200"/>
              <w:rPr>
                <w:rFonts w:hint="eastAsia"/>
              </w:rPr>
            </w:pPr>
            <w:r>
              <w:rPr>
                <w:rFonts w:hint="eastAsia"/>
              </w:rPr>
              <w:t>现场查看：公司</w:t>
            </w:r>
            <w:r>
              <w:rPr>
                <w:rFonts w:hint="eastAsia"/>
                <w:lang w:val="en-US" w:eastAsia="zh-CN"/>
              </w:rPr>
              <w:t>管理</w:t>
            </w:r>
            <w:r>
              <w:rPr>
                <w:rFonts w:hint="eastAsia"/>
              </w:rPr>
              <w:t>手册7.1.4章节，规定了现场过程运行环境的控制要求。</w:t>
            </w:r>
          </w:p>
          <w:p>
            <w:pPr>
              <w:spacing w:line="360" w:lineRule="auto"/>
              <w:ind w:firstLine="420" w:firstLineChars="200"/>
              <w:rPr>
                <w:rFonts w:hint="eastAsia"/>
              </w:rPr>
            </w:pPr>
            <w:r>
              <w:rPr>
                <w:rFonts w:hint="eastAsia"/>
                <w:lang w:val="en-US" w:eastAsia="zh-CN"/>
              </w:rPr>
              <w:t>建筑机电安装工程、电子与智能化工程、防雷工程的施工、通信工程施工、仪器仪表，电子产品（建筑智能化系统工程产品）、机电产品（机电设备安装工程产品）的销售</w:t>
            </w:r>
            <w:r>
              <w:rPr>
                <w:rFonts w:hint="eastAsia"/>
              </w:rPr>
              <w:t>的现场，无温度/湿度/洁净度等特殊环境控制要求，查看的</w:t>
            </w:r>
            <w:r>
              <w:rPr>
                <w:rFonts w:hint="eastAsia"/>
                <w:lang w:val="en-US" w:eastAsia="zh-CN"/>
              </w:rPr>
              <w:t>施工现场</w:t>
            </w:r>
            <w:r>
              <w:rPr>
                <w:rFonts w:hint="eastAsia"/>
              </w:rPr>
              <w:t>，环境整洁，通道宽畅，采光良好，作业区域划分清晰，符合规定要求。</w:t>
            </w:r>
          </w:p>
          <w:p>
            <w:pPr>
              <w:spacing w:line="360" w:lineRule="auto"/>
              <w:ind w:firstLine="420" w:firstLineChars="200"/>
              <w:rPr>
                <w:rFonts w:hint="eastAsia"/>
                <w:lang w:val="en-US" w:eastAsia="zh-CN"/>
              </w:rPr>
            </w:pPr>
            <w:r>
              <w:rPr>
                <w:rFonts w:hint="eastAsia"/>
              </w:rPr>
              <w:t>监视测量设备</w:t>
            </w:r>
            <w:r>
              <w:rPr>
                <w:rFonts w:hint="eastAsia"/>
                <w:lang w:val="en-US" w:eastAsia="zh-CN"/>
              </w:rPr>
              <w:t>主要有智能过程检验仪、数字多用表、接地电阻测试仪、兆欧表、网线测试仪等，</w:t>
            </w:r>
            <w:r>
              <w:rPr>
                <w:rFonts w:hint="eastAsia"/>
              </w:rPr>
              <w:t>询问计量器具管理情况，目前计量器具配备基本充分，日常由操作人员进行使用</w:t>
            </w:r>
            <w:r>
              <w:rPr>
                <w:rFonts w:hint="eastAsia"/>
                <w:lang w:eastAsia="zh-CN"/>
              </w:rPr>
              <w:t>。</w:t>
            </w:r>
          </w:p>
          <w:p>
            <w:pPr>
              <w:spacing w:line="360" w:lineRule="auto"/>
              <w:ind w:firstLine="420" w:firstLineChars="200"/>
              <w:rPr>
                <w:rFonts w:hint="default"/>
                <w:lang w:val="en-US" w:eastAsia="zh-CN"/>
              </w:rPr>
            </w:pPr>
            <w:r>
              <w:rPr>
                <w:rFonts w:hint="eastAsia"/>
                <w:lang w:val="en-US" w:eastAsia="zh-CN"/>
              </w:rPr>
              <w:t>查接地电阻测试仪、网线测试仪等设备仪器的检定校准报告;</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top"/>
          </w:tcPr>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运行策划和控制</w:t>
            </w:r>
          </w:p>
        </w:tc>
        <w:tc>
          <w:tcPr>
            <w:tcW w:w="965" w:type="dxa"/>
            <w:vAlign w:val="top"/>
          </w:tcPr>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val="en-US" w:eastAsia="zh-CN"/>
              </w:rPr>
              <w:t>Q</w:t>
            </w:r>
            <w:r>
              <w:rPr>
                <w:rFonts w:hint="eastAsia" w:ascii="宋体" w:hAnsi="宋体" w:eastAsia="宋体" w:cs="宋体"/>
                <w:color w:val="auto"/>
                <w:szCs w:val="21"/>
              </w:rPr>
              <w:t>8.1</w:t>
            </w:r>
          </w:p>
        </w:tc>
        <w:tc>
          <w:tcPr>
            <w:tcW w:w="10927" w:type="dxa"/>
            <w:vAlign w:val="top"/>
          </w:tcPr>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建筑机电安装工程、电子与智能化工程、防雷工程的施工、通信工程施工</w:t>
            </w:r>
            <w:r>
              <w:rPr>
                <w:rFonts w:hint="eastAsia" w:ascii="宋体" w:hAnsi="宋体" w:eastAsia="宋体" w:cs="宋体"/>
                <w:color w:val="auto"/>
                <w:szCs w:val="21"/>
              </w:rPr>
              <w:t>实现的策划主要由</w:t>
            </w:r>
            <w:r>
              <w:rPr>
                <w:rFonts w:hint="eastAsia" w:ascii="宋体" w:hAnsi="宋体" w:cs="宋体"/>
                <w:color w:val="auto"/>
                <w:szCs w:val="21"/>
                <w:lang w:eastAsia="zh-CN"/>
              </w:rPr>
              <w:t>市场部</w:t>
            </w:r>
            <w:r>
              <w:rPr>
                <w:rFonts w:hint="eastAsia" w:ascii="宋体" w:hAnsi="宋体" w:eastAsia="宋体" w:cs="宋体"/>
                <w:color w:val="auto"/>
                <w:szCs w:val="21"/>
              </w:rPr>
              <w:t>负责人完成，过程策划包含了实现产品所需达到的质量目标和要求，公司主要依据</w:t>
            </w:r>
            <w:r>
              <w:rPr>
                <w:rFonts w:hint="eastAsia" w:ascii="宋体" w:hAnsi="宋体" w:eastAsia="宋体" w:cs="宋体"/>
                <w:color w:val="auto"/>
                <w:szCs w:val="21"/>
                <w:lang w:val="en-US" w:eastAsia="zh-CN"/>
              </w:rPr>
              <w:t>国家标准</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客户要求</w:t>
            </w:r>
            <w:r>
              <w:rPr>
                <w:rFonts w:hint="eastAsia" w:ascii="宋体" w:hAnsi="宋体" w:eastAsia="宋体" w:cs="宋体"/>
                <w:color w:val="auto"/>
                <w:szCs w:val="21"/>
                <w:lang w:eastAsia="zh-CN"/>
              </w:rPr>
              <w:t>，GB 50194-2014建设工程施工现场供用电安全规范、JGJ 33-2012建筑机械使用安全技术规程、JGI 46-2005施工现场临时用电安全技术规范、GB50150-2016电气装置安装工程电气设备交接试验标准、GB50172-2012电气装置安装工程 蓄电池施工及验收规范、GB50150-2016电气装置安装工程 电气设备交接试验标准、GB50254-2014电气装置安装工程低压电器施工及验收规范、JGJ 146-2013建设工程施工现场环境与卫生标准动火作业安全管理规范、SY5984-2014防静电推荐做法、SY/T6340-2010石油工程建设施工安全规定</w:t>
            </w:r>
            <w:r>
              <w:rPr>
                <w:rFonts w:hint="eastAsia" w:ascii="宋体" w:hAnsi="宋体" w:eastAsia="宋体" w:cs="宋体"/>
                <w:color w:val="auto"/>
                <w:szCs w:val="21"/>
              </w:rPr>
              <w:t>，编制了相应的过程文件：</w:t>
            </w:r>
          </w:p>
          <w:p>
            <w:pPr>
              <w:snapToGrid w:val="0"/>
              <w:spacing w:line="36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编制了施工流程：</w:t>
            </w:r>
            <w:r>
              <w:rPr>
                <w:rFonts w:hint="eastAsia"/>
                <w:b w:val="0"/>
                <w:bCs/>
                <w:sz w:val="20"/>
                <w:szCs w:val="22"/>
              </w:rPr>
              <w:t>开工报告</w:t>
            </w:r>
            <w:r>
              <w:rPr>
                <w:rFonts w:hint="eastAsia"/>
                <w:b w:val="0"/>
                <w:bCs/>
                <w:sz w:val="20"/>
                <w:szCs w:val="22"/>
                <w:lang w:eastAsia="zh-CN"/>
              </w:rPr>
              <w:t>—</w:t>
            </w:r>
            <w:r>
              <w:rPr>
                <w:rFonts w:hint="eastAsia"/>
                <w:b w:val="0"/>
                <w:bCs/>
                <w:sz w:val="20"/>
                <w:szCs w:val="22"/>
                <w:lang w:val="en-US" w:eastAsia="zh-CN"/>
              </w:rPr>
              <w:t>材料入场</w:t>
            </w:r>
            <w:r>
              <w:rPr>
                <w:rFonts w:hint="eastAsia"/>
                <w:b w:val="0"/>
                <w:bCs/>
                <w:sz w:val="20"/>
                <w:szCs w:val="22"/>
                <w:lang w:eastAsia="zh-CN"/>
              </w:rPr>
              <w:t>—</w:t>
            </w:r>
            <w:r>
              <w:rPr>
                <w:rFonts w:hint="eastAsia"/>
                <w:b w:val="0"/>
                <w:bCs/>
                <w:sz w:val="20"/>
                <w:szCs w:val="22"/>
              </w:rPr>
              <w:t>敷缆</w:t>
            </w:r>
            <w:r>
              <w:rPr>
                <w:rFonts w:hint="eastAsia"/>
                <w:b w:val="0"/>
                <w:bCs/>
                <w:sz w:val="20"/>
                <w:szCs w:val="22"/>
                <w:lang w:eastAsia="zh-CN"/>
              </w:rPr>
              <w:t>、</w:t>
            </w:r>
            <w:r>
              <w:rPr>
                <w:rFonts w:hint="eastAsia"/>
                <w:b w:val="0"/>
                <w:bCs/>
                <w:sz w:val="20"/>
                <w:szCs w:val="22"/>
                <w:lang w:val="en-US" w:eastAsia="zh-CN"/>
              </w:rPr>
              <w:t>安装</w:t>
            </w:r>
            <w:r>
              <w:rPr>
                <w:rFonts w:hint="eastAsia"/>
                <w:b w:val="0"/>
                <w:bCs/>
                <w:sz w:val="20"/>
                <w:szCs w:val="22"/>
                <w:lang w:eastAsia="zh-CN"/>
              </w:rPr>
              <w:t>—</w:t>
            </w:r>
            <w:r>
              <w:rPr>
                <w:rFonts w:hint="eastAsia"/>
                <w:b w:val="0"/>
                <w:bCs/>
                <w:sz w:val="20"/>
                <w:szCs w:val="22"/>
              </w:rPr>
              <w:t>试验、检验</w:t>
            </w:r>
            <w:r>
              <w:rPr>
                <w:rFonts w:hint="eastAsia"/>
                <w:b w:val="0"/>
                <w:bCs/>
                <w:sz w:val="20"/>
                <w:szCs w:val="22"/>
                <w:lang w:eastAsia="zh-CN"/>
              </w:rPr>
              <w:t>—</w:t>
            </w:r>
            <w:r>
              <w:rPr>
                <w:rFonts w:hint="eastAsia"/>
                <w:b w:val="0"/>
                <w:bCs/>
                <w:sz w:val="20"/>
                <w:szCs w:val="22"/>
              </w:rPr>
              <w:t>交付</w:t>
            </w:r>
            <w:r>
              <w:rPr>
                <w:rFonts w:hint="eastAsia" w:ascii="宋体" w:hAnsi="宋体" w:cs="宋体"/>
                <w:color w:val="auto"/>
                <w:szCs w:val="21"/>
                <w:lang w:val="en-US" w:eastAsia="zh-CN"/>
              </w:rPr>
              <w:t>。</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针对</w:t>
            </w:r>
            <w:r>
              <w:rPr>
                <w:rFonts w:hint="eastAsia" w:ascii="宋体" w:hAnsi="宋体" w:eastAsia="宋体" w:cs="宋体"/>
                <w:color w:val="auto"/>
                <w:szCs w:val="21"/>
                <w:lang w:val="en-US" w:eastAsia="zh-CN"/>
              </w:rPr>
              <w:t>销售服务</w:t>
            </w:r>
            <w:r>
              <w:rPr>
                <w:rFonts w:hint="eastAsia" w:ascii="宋体" w:hAnsi="宋体" w:eastAsia="宋体" w:cs="宋体"/>
                <w:color w:val="auto"/>
                <w:szCs w:val="21"/>
              </w:rPr>
              <w:t>过程制定了作业指导书</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配套建设方案与技术措施</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等。</w:t>
            </w:r>
            <w:r>
              <w:rPr>
                <w:rFonts w:hint="eastAsia" w:ascii="宋体" w:hAnsi="宋体" w:eastAsia="宋体" w:cs="宋体"/>
                <w:color w:val="auto"/>
                <w:szCs w:val="21"/>
              </w:rPr>
              <w:t>规定了</w:t>
            </w:r>
            <w:r>
              <w:rPr>
                <w:rFonts w:hint="eastAsia" w:ascii="宋体" w:hAnsi="宋体" w:eastAsia="宋体" w:cs="宋体"/>
                <w:color w:val="auto"/>
                <w:szCs w:val="21"/>
                <w:lang w:val="en-US" w:eastAsia="zh-CN"/>
              </w:rPr>
              <w:t>施工</w:t>
            </w:r>
            <w:r>
              <w:rPr>
                <w:rFonts w:hint="eastAsia" w:ascii="宋体" w:hAnsi="宋体" w:eastAsia="宋体" w:cs="宋体"/>
                <w:color w:val="auto"/>
                <w:szCs w:val="21"/>
              </w:rPr>
              <w:t>的验收准则；</w:t>
            </w:r>
          </w:p>
          <w:p>
            <w:pPr>
              <w:snapToGrid w:val="0"/>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对建筑机电安装工程、电子与智能化工程、防雷工程的施工、通信工程施工服务设置了</w:t>
            </w:r>
            <w:r>
              <w:rPr>
                <w:rFonts w:hint="eastAsia" w:ascii="宋体" w:hAnsi="宋体"/>
                <w:color w:val="auto"/>
                <w:sz w:val="21"/>
                <w:szCs w:val="21"/>
                <w:lang w:val="en-US" w:eastAsia="zh-CN"/>
              </w:rPr>
              <w:t>检验批、分项、分部过程检验记录</w:t>
            </w:r>
            <w:r>
              <w:rPr>
                <w:rFonts w:hint="eastAsia" w:ascii="宋体" w:hAnsi="宋体" w:eastAsia="宋体" w:cs="宋体"/>
                <w:color w:val="auto"/>
                <w:szCs w:val="21"/>
                <w:lang w:val="en-US" w:eastAsia="zh-CN"/>
              </w:rPr>
              <w:t>等；</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资源的提供（包括人力、物力、办公设备设施、通讯工具、</w:t>
            </w:r>
            <w:r>
              <w:rPr>
                <w:rFonts w:hint="eastAsia" w:ascii="宋体" w:hAnsi="宋体" w:eastAsia="宋体" w:cs="宋体"/>
                <w:color w:val="auto"/>
                <w:szCs w:val="21"/>
                <w:lang w:val="en-US" w:eastAsia="zh-CN"/>
              </w:rPr>
              <w:t>维护所需的设备实施</w:t>
            </w:r>
            <w:r>
              <w:rPr>
                <w:rFonts w:hint="eastAsia" w:ascii="宋体" w:hAnsi="宋体" w:eastAsia="宋体" w:cs="宋体"/>
                <w:color w:val="auto"/>
                <w:szCs w:val="21"/>
              </w:rPr>
              <w:t>等）。</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策划的输出适合于组织的运行。</w:t>
            </w:r>
          </w:p>
          <w:p>
            <w:pPr>
              <w:snapToGrid w:val="0"/>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对于非预期变更，及时进行潜在后果评审，并告知相关人员，目前未发生。经识别企业</w:t>
            </w:r>
            <w:r>
              <w:rPr>
                <w:rFonts w:hint="eastAsia" w:ascii="宋体" w:hAnsi="宋体" w:cs="宋体"/>
                <w:color w:val="auto"/>
                <w:szCs w:val="21"/>
                <w:lang w:val="en-US" w:eastAsia="zh-CN"/>
              </w:rPr>
              <w:t>暂无</w:t>
            </w:r>
            <w:r>
              <w:rPr>
                <w:rFonts w:hint="eastAsia" w:ascii="宋体" w:hAnsi="宋体" w:eastAsia="宋体" w:cs="宋体"/>
                <w:color w:val="auto"/>
                <w:szCs w:val="21"/>
              </w:rPr>
              <w:t>外包过程</w:t>
            </w:r>
            <w:r>
              <w:rPr>
                <w:rFonts w:hint="eastAsia" w:ascii="宋体" w:hAnsi="宋体" w:cs="宋体"/>
                <w:color w:val="auto"/>
                <w:szCs w:val="21"/>
                <w:lang w:eastAsia="zh-CN"/>
              </w:rPr>
              <w:t>。</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top"/>
          </w:tcPr>
          <w:p>
            <w:pPr>
              <w:spacing w:line="400" w:lineRule="atLeast"/>
              <w:rPr>
                <w:rFonts w:hint="eastAsia" w:ascii="宋体" w:hAnsi="宋体" w:eastAsia="宋体" w:cs="Arial"/>
                <w:kern w:val="2"/>
                <w:sz w:val="21"/>
                <w:szCs w:val="21"/>
                <w:lang w:val="en-US" w:eastAsia="zh-CN" w:bidi="ar-SA"/>
              </w:rPr>
            </w:pPr>
            <w:r>
              <w:rPr>
                <w:rFonts w:hint="eastAsia" w:ascii="宋体" w:hAnsi="宋体"/>
                <w:szCs w:val="21"/>
              </w:rPr>
              <w:t>标识及可追溯性</w:t>
            </w:r>
          </w:p>
        </w:tc>
        <w:tc>
          <w:tcPr>
            <w:tcW w:w="965" w:type="dxa"/>
            <w:vAlign w:val="top"/>
          </w:tcPr>
          <w:p>
            <w:pPr>
              <w:spacing w:line="400" w:lineRule="atLeast"/>
              <w:ind w:right="-158" w:rightChars="-75"/>
              <w:rPr>
                <w:rFonts w:ascii="宋体" w:hAnsi="宋体"/>
                <w:szCs w:val="21"/>
              </w:rPr>
            </w:pPr>
            <w:r>
              <w:rPr>
                <w:rFonts w:hint="eastAsia" w:ascii="宋体" w:hAnsi="宋体"/>
                <w:szCs w:val="21"/>
                <w:lang w:val="en-US" w:eastAsia="zh-CN"/>
              </w:rPr>
              <w:t>Q</w:t>
            </w:r>
            <w:r>
              <w:rPr>
                <w:rFonts w:hint="eastAsia" w:ascii="宋体" w:hAnsi="宋体"/>
                <w:szCs w:val="21"/>
              </w:rPr>
              <w:t>8.5.2</w:t>
            </w:r>
          </w:p>
          <w:p>
            <w:pPr>
              <w:adjustRightInd w:val="0"/>
              <w:snapToGrid w:val="0"/>
              <w:jc w:val="center"/>
              <w:rPr>
                <w:rFonts w:hint="eastAsia" w:ascii="宋体" w:hAnsi="宋体" w:eastAsia="宋体" w:cs="Arial"/>
                <w:kern w:val="2"/>
                <w:sz w:val="21"/>
                <w:szCs w:val="21"/>
                <w:lang w:val="en-US" w:eastAsia="zh-CN" w:bidi="ar-SA"/>
              </w:rPr>
            </w:pPr>
          </w:p>
        </w:tc>
        <w:tc>
          <w:tcPr>
            <w:tcW w:w="10927" w:type="dxa"/>
            <w:vAlign w:val="top"/>
          </w:tcPr>
          <w:p>
            <w:pPr>
              <w:spacing w:line="400" w:lineRule="exact"/>
              <w:jc w:val="left"/>
              <w:rPr>
                <w:rFonts w:ascii="宋体" w:hAnsi="宋体"/>
                <w:szCs w:val="21"/>
              </w:rPr>
            </w:pPr>
            <w:r>
              <w:rPr>
                <w:rFonts w:hint="eastAsia" w:ascii="宋体" w:hAnsi="宋体"/>
                <w:szCs w:val="21"/>
              </w:rPr>
              <w:t>查</w:t>
            </w:r>
            <w:r>
              <w:rPr>
                <w:rFonts w:hint="eastAsia" w:ascii="宋体" w:hAnsi="宋体" w:eastAsia="宋体" w:cs="宋体"/>
                <w:sz w:val="21"/>
                <w:szCs w:val="21"/>
              </w:rPr>
              <w:t>管理手册中</w:t>
            </w:r>
            <w:r>
              <w:rPr>
                <w:rFonts w:hint="eastAsia" w:ascii="宋体" w:hAnsi="宋体"/>
                <w:szCs w:val="21"/>
              </w:rPr>
              <w:t>，文件规定了对产品、检验状态及唯一性标识做出了规定。</w:t>
            </w:r>
          </w:p>
          <w:p>
            <w:pPr>
              <w:spacing w:line="400" w:lineRule="exact"/>
              <w:rPr>
                <w:rFonts w:hint="eastAsia" w:asciiTheme="minorEastAsia" w:hAnsiTheme="minorEastAsia" w:eastAsiaTheme="minorEastAsia" w:cstheme="minorEastAsia"/>
                <w:bCs w:val="0"/>
                <w:spacing w:val="0"/>
                <w:kern w:val="2"/>
                <w:sz w:val="21"/>
                <w:szCs w:val="21"/>
                <w:highlight w:val="green"/>
                <w:lang w:val="en-US" w:eastAsia="zh-CN" w:bidi="ar-SA"/>
              </w:rPr>
            </w:pPr>
            <w:r>
              <w:rPr>
                <w:rFonts w:hint="eastAsia" w:ascii="宋体" w:hAnsi="宋体"/>
                <w:szCs w:val="21"/>
              </w:rPr>
              <w:t>在</w:t>
            </w:r>
            <w:r>
              <w:rPr>
                <w:rFonts w:hint="eastAsia" w:ascii="宋体" w:hAnsi="宋体"/>
                <w:szCs w:val="21"/>
                <w:lang w:val="en-US" w:eastAsia="zh-CN"/>
              </w:rPr>
              <w:t>施工</w:t>
            </w:r>
            <w:r>
              <w:rPr>
                <w:rFonts w:hint="eastAsia" w:ascii="宋体" w:hAnsi="宋体"/>
                <w:szCs w:val="21"/>
              </w:rPr>
              <w:t>现场，通过</w:t>
            </w:r>
            <w:r>
              <w:rPr>
                <w:rFonts w:hint="eastAsia" w:ascii="宋体" w:hAnsi="宋体"/>
                <w:szCs w:val="21"/>
                <w:lang w:val="en-US" w:eastAsia="zh-CN"/>
              </w:rPr>
              <w:t>施工</w:t>
            </w:r>
            <w:r>
              <w:rPr>
                <w:rFonts w:hint="eastAsia" w:ascii="宋体" w:hAnsi="宋体"/>
                <w:szCs w:val="21"/>
              </w:rPr>
              <w:t>检验记录进行追溯，主要记录内容：检验日期，</w:t>
            </w:r>
            <w:r>
              <w:rPr>
                <w:rFonts w:hint="eastAsia" w:ascii="宋体" w:hAnsi="宋体"/>
                <w:szCs w:val="21"/>
                <w:lang w:val="en-US" w:eastAsia="zh-CN"/>
              </w:rPr>
              <w:t>施工阶段</w:t>
            </w:r>
            <w:r>
              <w:rPr>
                <w:rFonts w:hint="eastAsia" w:ascii="宋体" w:hAnsi="宋体"/>
                <w:szCs w:val="21"/>
              </w:rPr>
              <w:t>、品名、数量等；</w:t>
            </w:r>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173" w:type="dxa"/>
            <w:vAlign w:val="top"/>
          </w:tcPr>
          <w:p>
            <w:pPr>
              <w:spacing w:line="360" w:lineRule="auto"/>
              <w:rPr>
                <w:rFonts w:hint="eastAsia" w:ascii="宋体" w:hAnsi="宋体" w:eastAsia="宋体" w:cs="Arial"/>
                <w:kern w:val="2"/>
                <w:sz w:val="21"/>
                <w:szCs w:val="21"/>
                <w:lang w:val="en-US" w:eastAsia="zh-CN" w:bidi="ar-SA"/>
              </w:rPr>
            </w:pPr>
            <w:r>
              <w:rPr>
                <w:rFonts w:hint="eastAsia" w:ascii="宋体" w:hAnsi="宋体" w:cs="Arial"/>
                <w:szCs w:val="21"/>
              </w:rPr>
              <w:t>顾客及外部供方财产</w:t>
            </w:r>
          </w:p>
        </w:tc>
        <w:tc>
          <w:tcPr>
            <w:tcW w:w="965" w:type="dxa"/>
            <w:vAlign w:val="top"/>
          </w:tcPr>
          <w:p>
            <w:pPr>
              <w:spacing w:line="360" w:lineRule="auto"/>
              <w:rPr>
                <w:rFonts w:hint="eastAsia" w:ascii="宋体" w:hAnsi="宋体" w:eastAsia="宋体" w:cs="Arial"/>
                <w:kern w:val="2"/>
                <w:sz w:val="21"/>
                <w:szCs w:val="21"/>
                <w:lang w:val="en-US" w:eastAsia="zh-CN" w:bidi="ar-SA"/>
              </w:rPr>
            </w:pPr>
            <w:r>
              <w:rPr>
                <w:rFonts w:hint="eastAsia" w:ascii="宋体" w:hAnsi="宋体" w:eastAsia="宋体"/>
                <w:szCs w:val="21"/>
              </w:rPr>
              <w:t>Q8.5.3</w:t>
            </w:r>
          </w:p>
        </w:tc>
        <w:tc>
          <w:tcPr>
            <w:tcW w:w="10927"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顾客或外部供方的财产包括：资质证明文件（如营业执照和其它资质文件）、银行账号、联系方式、经营地址及档案资料等信息，由部门专门人员负责管理，分类登记放置。未发生损坏丢失等现象</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szCs w:val="21"/>
              </w:rPr>
              <w:t>在</w:t>
            </w:r>
            <w:r>
              <w:rPr>
                <w:rFonts w:hint="eastAsia" w:ascii="宋体" w:hAnsi="宋体"/>
                <w:szCs w:val="21"/>
                <w:lang w:val="en-US" w:eastAsia="zh-CN"/>
              </w:rPr>
              <w:t>施工</w:t>
            </w:r>
            <w:r>
              <w:rPr>
                <w:rFonts w:hint="eastAsia" w:ascii="宋体" w:hAnsi="宋体"/>
                <w:szCs w:val="21"/>
              </w:rPr>
              <w:t>现场，</w:t>
            </w:r>
            <w:r>
              <w:rPr>
                <w:rFonts w:hint="eastAsia" w:ascii="宋体" w:hAnsi="宋体" w:eastAsia="宋体" w:cs="宋体"/>
                <w:sz w:val="21"/>
                <w:szCs w:val="21"/>
              </w:rPr>
              <w:t>对顾客或外部供方财产</w:t>
            </w:r>
            <w:r>
              <w:rPr>
                <w:rFonts w:hint="eastAsia" w:ascii="宋体" w:hAnsi="宋体"/>
                <w:szCs w:val="21"/>
              </w:rPr>
              <w:t>进行</w:t>
            </w:r>
            <w:r>
              <w:rPr>
                <w:rFonts w:hint="eastAsia" w:ascii="宋体" w:hAnsi="宋体" w:eastAsia="宋体" w:cs="宋体"/>
                <w:sz w:val="21"/>
                <w:szCs w:val="21"/>
              </w:rPr>
              <w:t>的登记、验收、保护、使用</w:t>
            </w:r>
            <w:r>
              <w:rPr>
                <w:rFonts w:hint="eastAsia" w:ascii="宋体" w:hAnsi="宋体"/>
                <w:szCs w:val="21"/>
              </w:rPr>
              <w:t>等；</w:t>
            </w:r>
            <w:bookmarkStart w:id="0" w:name="_GoBack"/>
            <w:bookmarkEnd w:id="0"/>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top"/>
          </w:tcPr>
          <w:p>
            <w:pPr>
              <w:spacing w:line="360" w:lineRule="auto"/>
              <w:rPr>
                <w:rFonts w:hint="eastAsia" w:ascii="宋体" w:hAnsi="宋体" w:eastAsia="宋体" w:cs="Arial"/>
                <w:kern w:val="2"/>
                <w:sz w:val="21"/>
                <w:szCs w:val="21"/>
                <w:lang w:val="en-US" w:eastAsia="zh-CN" w:bidi="ar-SA"/>
              </w:rPr>
            </w:pPr>
            <w:r>
              <w:rPr>
                <w:rFonts w:hint="eastAsia" w:ascii="宋体" w:hAnsi="宋体" w:cs="Arial"/>
                <w:szCs w:val="21"/>
              </w:rPr>
              <w:t>产品防护及服务交付后的活动</w:t>
            </w:r>
          </w:p>
        </w:tc>
        <w:tc>
          <w:tcPr>
            <w:tcW w:w="965" w:type="dxa"/>
            <w:vAlign w:val="top"/>
          </w:tcPr>
          <w:p>
            <w:pPr>
              <w:spacing w:line="360" w:lineRule="auto"/>
              <w:rPr>
                <w:rFonts w:ascii="宋体" w:hAnsi="宋体" w:cs="Arial"/>
                <w:szCs w:val="21"/>
              </w:rPr>
            </w:pPr>
            <w:r>
              <w:rPr>
                <w:rFonts w:hint="eastAsia" w:ascii="宋体" w:hAnsi="宋体" w:cs="Arial"/>
                <w:szCs w:val="21"/>
              </w:rPr>
              <w:t>Q</w:t>
            </w:r>
            <w:r>
              <w:rPr>
                <w:rFonts w:ascii="宋体" w:hAnsi="宋体" w:cs="Arial"/>
                <w:szCs w:val="21"/>
              </w:rPr>
              <w:t>8.5.4</w:t>
            </w:r>
          </w:p>
          <w:p>
            <w:pPr>
              <w:spacing w:line="360" w:lineRule="auto"/>
              <w:rPr>
                <w:rFonts w:hint="eastAsia" w:ascii="宋体" w:hAnsi="宋体" w:eastAsia="宋体" w:cs="Arial"/>
                <w:kern w:val="2"/>
                <w:sz w:val="21"/>
                <w:szCs w:val="21"/>
                <w:lang w:val="en-US" w:eastAsia="zh-CN" w:bidi="ar-SA"/>
              </w:rPr>
            </w:pPr>
            <w:r>
              <w:rPr>
                <w:rFonts w:hint="eastAsia" w:ascii="宋体" w:hAnsi="宋体" w:cs="Arial"/>
                <w:szCs w:val="21"/>
              </w:rPr>
              <w:t>Q</w:t>
            </w:r>
            <w:r>
              <w:rPr>
                <w:rFonts w:ascii="宋体" w:hAnsi="宋体" w:cs="Arial"/>
                <w:szCs w:val="21"/>
              </w:rPr>
              <w:t>8.5.5</w:t>
            </w:r>
          </w:p>
        </w:tc>
        <w:tc>
          <w:tcPr>
            <w:tcW w:w="10927" w:type="dxa"/>
            <w:vAlign w:val="center"/>
          </w:tcPr>
          <w:p>
            <w:pPr>
              <w:spacing w:line="360" w:lineRule="auto"/>
              <w:ind w:firstLine="420" w:firstLineChars="200"/>
              <w:rPr>
                <w:rFonts w:hint="default" w:ascii="宋体" w:hAnsi="宋体" w:eastAsia="宋体" w:cs="宋体"/>
                <w:szCs w:val="21"/>
              </w:rPr>
            </w:pPr>
            <w:r>
              <w:rPr>
                <w:rFonts w:hint="eastAsia" w:ascii="宋体" w:hAnsi="宋体" w:eastAsia="宋体" w:cs="宋体"/>
                <w:szCs w:val="21"/>
              </w:rPr>
              <w:t>公司对</w:t>
            </w:r>
            <w:r>
              <w:rPr>
                <w:rFonts w:hint="eastAsia" w:ascii="宋体" w:hAnsi="宋体" w:eastAsia="宋体" w:cs="宋体"/>
                <w:szCs w:val="21"/>
                <w:lang w:val="en-US" w:eastAsia="zh-CN"/>
              </w:rPr>
              <w:t>建筑机电安装工程、电子与智能化工程、防雷工程的施工、通信工程施工服务</w:t>
            </w:r>
            <w:r>
              <w:rPr>
                <w:rFonts w:hint="eastAsia" w:ascii="宋体" w:hAnsi="宋体" w:eastAsia="宋体" w:cs="宋体"/>
                <w:szCs w:val="21"/>
              </w:rPr>
              <w:t>的防护实施控制：</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公司自体系运行以来，未发生由于防护不当导致</w:t>
            </w:r>
            <w:r>
              <w:rPr>
                <w:rFonts w:hint="eastAsia" w:ascii="宋体" w:hAnsi="宋体" w:cs="宋体"/>
                <w:szCs w:val="21"/>
                <w:lang w:val="en-US" w:eastAsia="zh-CN"/>
              </w:rPr>
              <w:t>建筑机电安装工程、电子与智能化工程、防雷工程的施工、通信工程施工</w:t>
            </w:r>
            <w:r>
              <w:rPr>
                <w:rFonts w:hint="eastAsia" w:ascii="宋体" w:hAnsi="宋体" w:eastAsia="宋体" w:cs="宋体"/>
                <w:szCs w:val="21"/>
                <w:lang w:val="en-US" w:eastAsia="zh-CN"/>
              </w:rPr>
              <w:t>服务</w:t>
            </w:r>
            <w:r>
              <w:rPr>
                <w:rFonts w:hint="eastAsia" w:ascii="宋体" w:hAnsi="宋体" w:eastAsia="宋体" w:cs="宋体"/>
                <w:szCs w:val="21"/>
              </w:rPr>
              <w:t>质量事故的情况，防护措施能够满足要求。</w:t>
            </w:r>
          </w:p>
          <w:p>
            <w:pPr>
              <w:spacing w:line="360" w:lineRule="auto"/>
              <w:ind w:firstLine="420" w:firstLineChars="200"/>
              <w:rPr>
                <w:rFonts w:hint="default" w:ascii="宋体" w:hAnsi="宋体" w:eastAsia="宋体" w:cs="宋体"/>
                <w:szCs w:val="21"/>
              </w:rPr>
            </w:pPr>
            <w:r>
              <w:rPr>
                <w:rFonts w:hint="eastAsia" w:ascii="宋体" w:hAnsi="宋体" w:eastAsia="宋体" w:cs="宋体"/>
                <w:szCs w:val="21"/>
              </w:rPr>
              <w:t>防护的管理符合标准要求。</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现场产品防护能够按照策划的要求实施，满足策划的要求。</w:t>
            </w:r>
            <w:r>
              <w:rPr>
                <w:rFonts w:hint="eastAsia" w:ascii="宋体" w:hAnsi="宋体" w:cs="宋体"/>
                <w:szCs w:val="21"/>
                <w:lang w:val="en-US" w:eastAsia="zh-CN"/>
              </w:rPr>
              <w:t>建筑机电安装工程、电子与智能化工程、防雷工程的施工、通信工程施工</w:t>
            </w:r>
            <w:r>
              <w:rPr>
                <w:rFonts w:hint="eastAsia" w:ascii="宋体" w:hAnsi="宋体" w:eastAsia="宋体" w:cs="宋体"/>
                <w:szCs w:val="21"/>
              </w:rPr>
              <w:t>完成后，</w:t>
            </w:r>
            <w:r>
              <w:rPr>
                <w:rFonts w:hint="eastAsia" w:ascii="宋体" w:hAnsi="宋体" w:cs="宋体"/>
                <w:szCs w:val="21"/>
                <w:lang w:val="en-US" w:eastAsia="zh-CN"/>
              </w:rPr>
              <w:t>建筑机电安装工程、电子与智能化工程、防雷工程的施工、通信工程施工</w:t>
            </w:r>
            <w:r>
              <w:rPr>
                <w:rFonts w:hint="eastAsia" w:ascii="宋体" w:hAnsi="宋体" w:eastAsia="宋体" w:cs="宋体"/>
                <w:szCs w:val="21"/>
              </w:rPr>
              <w:t>会继续做好客户</w:t>
            </w:r>
            <w:r>
              <w:rPr>
                <w:rFonts w:hint="eastAsia" w:ascii="宋体" w:hAnsi="宋体" w:eastAsia="宋体" w:cs="宋体"/>
                <w:szCs w:val="21"/>
                <w:lang w:val="en-US" w:eastAsia="zh-CN"/>
              </w:rPr>
              <w:t>反馈</w:t>
            </w:r>
            <w:r>
              <w:rPr>
                <w:rFonts w:hint="eastAsia" w:ascii="宋体" w:hAnsi="宋体" w:eastAsia="宋体" w:cs="宋体"/>
                <w:szCs w:val="21"/>
              </w:rPr>
              <w:t>信息的处置，按照信息沟通程序等做好沟通。</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截止目前没有发生交付后客户投诉的情况。</w:t>
            </w:r>
          </w:p>
          <w:p>
            <w:pPr>
              <w:spacing w:line="360" w:lineRule="auto"/>
              <w:ind w:firstLine="420" w:firstLineChars="200"/>
              <w:rPr>
                <w:rFonts w:ascii="宋体" w:hAnsi="宋体" w:cs="宋体"/>
                <w:szCs w:val="21"/>
              </w:rPr>
            </w:pPr>
            <w:r>
              <w:rPr>
                <w:rFonts w:hint="eastAsia" w:ascii="宋体" w:hAnsi="宋体" w:cs="宋体"/>
                <w:szCs w:val="21"/>
                <w:lang w:val="en-US" w:eastAsia="zh-CN"/>
              </w:rPr>
              <w:t>市场部</w:t>
            </w:r>
            <w:r>
              <w:rPr>
                <w:rFonts w:hint="eastAsia" w:ascii="宋体" w:hAnsi="宋体" w:cs="宋体"/>
                <w:szCs w:val="21"/>
              </w:rPr>
              <w:t>表示，对</w:t>
            </w:r>
            <w:r>
              <w:rPr>
                <w:rFonts w:hint="eastAsia" w:ascii="宋体" w:hAnsi="宋体" w:cs="宋体"/>
                <w:szCs w:val="21"/>
                <w:lang w:val="en-US" w:eastAsia="zh-CN"/>
              </w:rPr>
              <w:t>施工服务</w:t>
            </w:r>
            <w:r>
              <w:rPr>
                <w:rFonts w:hint="eastAsia" w:ascii="宋体" w:hAnsi="宋体" w:cs="宋体"/>
                <w:szCs w:val="21"/>
              </w:rPr>
              <w:t>人员等会通过教育培训，</w:t>
            </w:r>
            <w:r>
              <w:rPr>
                <w:rFonts w:hint="eastAsia" w:ascii="宋体" w:hAnsi="宋体" w:cs="宋体"/>
                <w:szCs w:val="21"/>
                <w:lang w:val="en-US" w:eastAsia="zh-CN"/>
              </w:rPr>
              <w:t>对井场服务人员</w:t>
            </w:r>
            <w:r>
              <w:rPr>
                <w:rFonts w:hint="eastAsia" w:ascii="宋体" w:hAnsi="宋体" w:cs="宋体"/>
                <w:szCs w:val="21"/>
              </w:rPr>
              <w:t>提供安全防护（头盔、防护手套、工作靴）等方式进行防护。</w:t>
            </w:r>
          </w:p>
          <w:p>
            <w:pPr>
              <w:spacing w:line="360" w:lineRule="auto"/>
              <w:ind w:firstLine="420" w:firstLineChars="200"/>
              <w:rPr>
                <w:rFonts w:ascii="宋体" w:hAnsi="宋体" w:cs="宋体"/>
                <w:szCs w:val="21"/>
              </w:rPr>
            </w:pPr>
            <w:r>
              <w:rPr>
                <w:rFonts w:hint="eastAsia" w:ascii="宋体" w:hAnsi="宋体" w:cs="宋体"/>
                <w:szCs w:val="21"/>
              </w:rPr>
              <w:t>服务完成后，</w:t>
            </w:r>
            <w:r>
              <w:rPr>
                <w:rFonts w:hint="eastAsia" w:ascii="宋体" w:hAnsi="宋体" w:cs="宋体"/>
                <w:szCs w:val="21"/>
                <w:lang w:eastAsia="zh-CN"/>
              </w:rPr>
              <w:t>市场部</w:t>
            </w:r>
            <w:r>
              <w:rPr>
                <w:rFonts w:hint="eastAsia" w:ascii="宋体" w:hAnsi="宋体" w:cs="宋体"/>
                <w:szCs w:val="21"/>
              </w:rPr>
              <w:t>主要做好客户信息的处置，按照信息沟通程序等做好沟通。</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截止目前没有发生交付后客户投诉的情况。</w:t>
            </w:r>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top"/>
          </w:tcPr>
          <w:p>
            <w:pPr>
              <w:spacing w:line="400" w:lineRule="exact"/>
              <w:rPr>
                <w:rFonts w:hint="eastAsia" w:asciiTheme="minorEastAsia" w:hAnsiTheme="minorEastAsia" w:eastAsiaTheme="minorEastAsia" w:cstheme="minorEastAsia"/>
                <w:sz w:val="21"/>
                <w:szCs w:val="21"/>
                <w:highlight w:val="none"/>
              </w:rPr>
            </w:pPr>
            <w:r>
              <w:rPr>
                <w:rFonts w:hint="eastAsia" w:ascii="宋体" w:hAnsi="宋体"/>
                <w:szCs w:val="21"/>
              </w:rPr>
              <w:t>更改控制</w:t>
            </w:r>
          </w:p>
        </w:tc>
        <w:tc>
          <w:tcPr>
            <w:tcW w:w="965" w:type="dxa"/>
            <w:vAlign w:val="top"/>
          </w:tcPr>
          <w:p>
            <w:pPr>
              <w:adjustRightInd w:val="0"/>
              <w:snapToGrid w:val="0"/>
              <w:jc w:val="center"/>
              <w:rPr>
                <w:rFonts w:hint="eastAsia" w:eastAsia="宋体" w:asciiTheme="minorEastAsia" w:hAnsiTheme="minorEastAsia" w:cstheme="minorEastAsia"/>
                <w:sz w:val="21"/>
                <w:szCs w:val="21"/>
                <w:highlight w:val="none"/>
                <w:lang w:val="en-US" w:eastAsia="zh-CN"/>
              </w:rPr>
            </w:pPr>
            <w:r>
              <w:rPr>
                <w:rFonts w:hint="eastAsia" w:ascii="宋体" w:hAnsi="宋体"/>
                <w:szCs w:val="21"/>
              </w:rPr>
              <w:t>8.5.6</w:t>
            </w:r>
          </w:p>
        </w:tc>
        <w:tc>
          <w:tcPr>
            <w:tcW w:w="10927" w:type="dxa"/>
            <w:vAlign w:val="top"/>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查，公司对产品实现过程的更改策划了管理要求。主要包括：产品信息更改等。</w:t>
            </w:r>
          </w:p>
          <w:p>
            <w:pPr>
              <w:spacing w:line="400" w:lineRule="exact"/>
              <w:ind w:firstLine="420" w:firstLineChars="200"/>
              <w:rPr>
                <w:rFonts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rPr>
                <w:rFonts w:ascii="宋体" w:hAnsi="宋体"/>
                <w:szCs w:val="21"/>
              </w:rPr>
            </w:pPr>
            <w:r>
              <w:rPr>
                <w:rFonts w:hint="eastAsia" w:ascii="宋体" w:hAnsi="宋体"/>
                <w:szCs w:val="21"/>
              </w:rPr>
              <w:t>查，产品为客户出</w:t>
            </w:r>
            <w:r>
              <w:rPr>
                <w:rFonts w:hint="eastAsia" w:ascii="宋体" w:hAnsi="宋体"/>
                <w:szCs w:val="21"/>
                <w:lang w:val="en-US" w:eastAsia="zh-CN"/>
              </w:rPr>
              <w:t>施工方案</w:t>
            </w:r>
            <w:r>
              <w:rPr>
                <w:rFonts w:hint="eastAsia" w:ascii="宋体" w:hAnsi="宋体"/>
                <w:szCs w:val="21"/>
              </w:rPr>
              <w:t>，无工艺、材料等更改。</w:t>
            </w:r>
          </w:p>
          <w:p>
            <w:pPr>
              <w:spacing w:line="400" w:lineRule="exact"/>
              <w:ind w:firstLine="420" w:firstLineChars="200"/>
              <w:rPr>
                <w:rFonts w:hint="default" w:asciiTheme="minorEastAsia" w:hAnsiTheme="minorEastAsia" w:eastAsiaTheme="minorEastAsia" w:cstheme="minorEastAsia"/>
                <w:color w:val="auto"/>
                <w:sz w:val="21"/>
                <w:szCs w:val="21"/>
                <w:highlight w:val="red"/>
                <w:lang w:val="en-US" w:eastAsia="zh-CN"/>
              </w:rPr>
            </w:pPr>
            <w:r>
              <w:rPr>
                <w:rFonts w:hint="eastAsia" w:ascii="宋体" w:hAnsi="宋体"/>
                <w:szCs w:val="21"/>
              </w:rPr>
              <w:t>查，近期暂无产品信息变更的情况。</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2173" w:type="dxa"/>
            <w:vAlign w:val="top"/>
          </w:tcPr>
          <w:p>
            <w:pPr>
              <w:adjustRightInd w:val="0"/>
              <w:snapToGrid w:val="0"/>
              <w:jc w:val="center"/>
              <w:rPr>
                <w:rFonts w:hint="eastAsia" w:asciiTheme="minorEastAsia" w:hAnsiTheme="minorEastAsia" w:eastAsiaTheme="minorEastAsia" w:cstheme="minorEastAsia"/>
                <w:color w:val="auto"/>
                <w:sz w:val="21"/>
                <w:szCs w:val="21"/>
                <w:highlight w:val="none"/>
              </w:rPr>
            </w:pPr>
            <w:r>
              <w:rPr>
                <w:rFonts w:hint="eastAsia" w:ascii="宋体" w:hAnsi="宋体" w:cs="新宋体"/>
                <w:color w:val="auto"/>
                <w:szCs w:val="21"/>
              </w:rPr>
              <w:t>不合格输出的控制</w:t>
            </w:r>
          </w:p>
        </w:tc>
        <w:tc>
          <w:tcPr>
            <w:tcW w:w="965" w:type="dxa"/>
            <w:vAlign w:val="top"/>
          </w:tcPr>
          <w:p>
            <w:pPr>
              <w:rPr>
                <w:rFonts w:hint="eastAsia" w:eastAsia="宋体" w:asciiTheme="minorEastAsia" w:hAnsiTheme="minorEastAsia" w:cstheme="minorEastAsia"/>
                <w:color w:val="auto"/>
                <w:sz w:val="21"/>
                <w:szCs w:val="21"/>
                <w:highlight w:val="none"/>
                <w:lang w:eastAsia="zh-CN"/>
              </w:rPr>
            </w:pPr>
            <w:r>
              <w:rPr>
                <w:rFonts w:hint="eastAsia" w:ascii="宋体" w:hAnsi="宋体" w:cs="新宋体"/>
                <w:color w:val="auto"/>
                <w:sz w:val="21"/>
                <w:szCs w:val="21"/>
              </w:rPr>
              <w:t xml:space="preserve">8.7 </w:t>
            </w:r>
          </w:p>
        </w:tc>
        <w:tc>
          <w:tcPr>
            <w:tcW w:w="10927" w:type="dxa"/>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w:t>
            </w:r>
            <w:r>
              <w:rPr>
                <w:rFonts w:hint="eastAsia" w:ascii="宋体" w:hAnsi="宋体"/>
                <w:color w:val="auto"/>
                <w:sz w:val="21"/>
                <w:szCs w:val="21"/>
                <w:lang w:eastAsia="zh-CN"/>
              </w:rPr>
              <w:t>不符合控制程序</w:t>
            </w:r>
            <w:r>
              <w:rPr>
                <w:rFonts w:hint="eastAsia" w:ascii="宋体" w:hAnsi="宋体"/>
                <w:color w:val="auto"/>
                <w:sz w:val="21"/>
                <w:szCs w:val="21"/>
              </w:rPr>
              <w:t>》</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25"/>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w:t>
            </w:r>
            <w:r>
              <w:rPr>
                <w:rFonts w:hint="eastAsia" w:ascii="宋体" w:hAnsi="宋体"/>
                <w:color w:val="auto"/>
                <w:sz w:val="21"/>
                <w:szCs w:val="21"/>
                <w:lang w:eastAsia="zh-CN"/>
              </w:rPr>
              <w:t>不符合控制程序</w:t>
            </w:r>
            <w:r>
              <w:rPr>
                <w:rFonts w:hint="eastAsia" w:ascii="宋体" w:hAnsi="宋体"/>
                <w:color w:val="auto"/>
                <w:sz w:val="21"/>
                <w:szCs w:val="21"/>
              </w:rPr>
              <w:t>》，对不合格品的控制及其职责、权限及要求进行了规定。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宋体" w:hAnsi="宋体"/>
                <w:color w:val="auto"/>
                <w:sz w:val="21"/>
                <w:szCs w:val="21"/>
              </w:rPr>
              <w:t xml:space="preserve">部门对不合格品的性质、处理的措施及结论的结果进行了记录及保持。 </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bl>
    <w:p>
      <w:pPr>
        <w:pStyle w:val="13"/>
        <w:rPr>
          <w:rFonts w:hint="eastAsia"/>
        </w:rPr>
      </w:pPr>
    </w:p>
    <w:p>
      <w:pPr>
        <w:rPr>
          <w:rFonts w:hint="eastAsia"/>
        </w:rPr>
      </w:pPr>
    </w:p>
    <w:p>
      <w:pPr>
        <w:pStyle w:val="13"/>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3"/>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3360"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2" name="文本框 12"/>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Hv++SfCAQAAeQMAAA4AAAAAAAAAAQAgAAAAJwEAAGRycy9lMm9E&#10;b2MueG1sUEsFBgAAAAAGAAYAWQEAAFsF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14"/>
      <w:pBdr>
        <w:bottom w:val="none" w:color="auto" w:sz="0" w:space="0"/>
      </w:pBdr>
      <w:spacing w:line="320" w:lineRule="exact"/>
      <w:ind w:firstLine="756" w:firstLineChars="400"/>
      <w:jc w:val="left"/>
    </w:pPr>
    <w:r>
      <w:rPr>
        <w:rStyle w:val="21"/>
        <w:rFonts w:hint="default"/>
        <w:w w:val="90"/>
      </w:rPr>
      <w:t>Beijing International Standard united Certification Co.,Ltd.</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B80"/>
    <w:rsid w:val="0001713F"/>
    <w:rsid w:val="000259AC"/>
    <w:rsid w:val="000B7900"/>
    <w:rsid w:val="000D6436"/>
    <w:rsid w:val="001032CB"/>
    <w:rsid w:val="001538EB"/>
    <w:rsid w:val="001541DA"/>
    <w:rsid w:val="001A2755"/>
    <w:rsid w:val="001D5406"/>
    <w:rsid w:val="001E2BA0"/>
    <w:rsid w:val="00297B6F"/>
    <w:rsid w:val="002D1F1C"/>
    <w:rsid w:val="00376607"/>
    <w:rsid w:val="003852FD"/>
    <w:rsid w:val="00411CE7"/>
    <w:rsid w:val="0044635D"/>
    <w:rsid w:val="00477697"/>
    <w:rsid w:val="004B16A6"/>
    <w:rsid w:val="004E08A4"/>
    <w:rsid w:val="00500C21"/>
    <w:rsid w:val="005E75BA"/>
    <w:rsid w:val="005F58CE"/>
    <w:rsid w:val="006350F0"/>
    <w:rsid w:val="0066443D"/>
    <w:rsid w:val="0068005C"/>
    <w:rsid w:val="006C3B64"/>
    <w:rsid w:val="006E7A70"/>
    <w:rsid w:val="00734419"/>
    <w:rsid w:val="007420C5"/>
    <w:rsid w:val="007536EE"/>
    <w:rsid w:val="007B1A3B"/>
    <w:rsid w:val="007F5845"/>
    <w:rsid w:val="00802252"/>
    <w:rsid w:val="00834B09"/>
    <w:rsid w:val="00893291"/>
    <w:rsid w:val="008E0C8E"/>
    <w:rsid w:val="008E45B6"/>
    <w:rsid w:val="0094266C"/>
    <w:rsid w:val="00954EA8"/>
    <w:rsid w:val="009B7866"/>
    <w:rsid w:val="009C3AF7"/>
    <w:rsid w:val="00A07938"/>
    <w:rsid w:val="00A3276E"/>
    <w:rsid w:val="00AA2D83"/>
    <w:rsid w:val="00AB7281"/>
    <w:rsid w:val="00B01EF6"/>
    <w:rsid w:val="00B325A1"/>
    <w:rsid w:val="00B33B39"/>
    <w:rsid w:val="00BB5BDD"/>
    <w:rsid w:val="00BB6546"/>
    <w:rsid w:val="00BE0E37"/>
    <w:rsid w:val="00BF540D"/>
    <w:rsid w:val="00C23315"/>
    <w:rsid w:val="00C343F0"/>
    <w:rsid w:val="00C45B28"/>
    <w:rsid w:val="00CB6525"/>
    <w:rsid w:val="00D5752A"/>
    <w:rsid w:val="00DD4B80"/>
    <w:rsid w:val="00E113F1"/>
    <w:rsid w:val="00E238F5"/>
    <w:rsid w:val="00E345F7"/>
    <w:rsid w:val="00E412FC"/>
    <w:rsid w:val="00E5540F"/>
    <w:rsid w:val="00EF3EBB"/>
    <w:rsid w:val="00F13AB9"/>
    <w:rsid w:val="00F60F0B"/>
    <w:rsid w:val="00F66D86"/>
    <w:rsid w:val="00F67463"/>
    <w:rsid w:val="00F922A5"/>
    <w:rsid w:val="00FB75CB"/>
    <w:rsid w:val="00FD12F5"/>
    <w:rsid w:val="00FD6519"/>
    <w:rsid w:val="010A11BF"/>
    <w:rsid w:val="01304109"/>
    <w:rsid w:val="02FD3C5D"/>
    <w:rsid w:val="0358271A"/>
    <w:rsid w:val="03705B95"/>
    <w:rsid w:val="03CD76A8"/>
    <w:rsid w:val="04892300"/>
    <w:rsid w:val="049145A4"/>
    <w:rsid w:val="04F3757C"/>
    <w:rsid w:val="05C27E71"/>
    <w:rsid w:val="05F821C1"/>
    <w:rsid w:val="067C699F"/>
    <w:rsid w:val="07BB1345"/>
    <w:rsid w:val="07C902D0"/>
    <w:rsid w:val="0813265E"/>
    <w:rsid w:val="08555398"/>
    <w:rsid w:val="08CE13B5"/>
    <w:rsid w:val="08DC34E6"/>
    <w:rsid w:val="090E5D15"/>
    <w:rsid w:val="098576D0"/>
    <w:rsid w:val="09A004A0"/>
    <w:rsid w:val="09D66353"/>
    <w:rsid w:val="0AC57974"/>
    <w:rsid w:val="0B2B1110"/>
    <w:rsid w:val="0DED2B38"/>
    <w:rsid w:val="0DEF2265"/>
    <w:rsid w:val="0E55344A"/>
    <w:rsid w:val="0E6B3ADE"/>
    <w:rsid w:val="0E773D43"/>
    <w:rsid w:val="0E873F41"/>
    <w:rsid w:val="0EFA2C7C"/>
    <w:rsid w:val="0F3C1D64"/>
    <w:rsid w:val="0F446BB8"/>
    <w:rsid w:val="0F711E78"/>
    <w:rsid w:val="0FD27054"/>
    <w:rsid w:val="0FEC77A2"/>
    <w:rsid w:val="10807825"/>
    <w:rsid w:val="1093370C"/>
    <w:rsid w:val="10FC7069"/>
    <w:rsid w:val="10FE1E26"/>
    <w:rsid w:val="11191B99"/>
    <w:rsid w:val="11486339"/>
    <w:rsid w:val="115D0060"/>
    <w:rsid w:val="1178793D"/>
    <w:rsid w:val="1220104F"/>
    <w:rsid w:val="128064A8"/>
    <w:rsid w:val="129B7938"/>
    <w:rsid w:val="12C633EC"/>
    <w:rsid w:val="13484B18"/>
    <w:rsid w:val="13545603"/>
    <w:rsid w:val="13882863"/>
    <w:rsid w:val="13AE0697"/>
    <w:rsid w:val="13D35327"/>
    <w:rsid w:val="144C003C"/>
    <w:rsid w:val="145B4749"/>
    <w:rsid w:val="147139DD"/>
    <w:rsid w:val="150C08A1"/>
    <w:rsid w:val="15452B6C"/>
    <w:rsid w:val="15A57A90"/>
    <w:rsid w:val="15E2796E"/>
    <w:rsid w:val="15EA512F"/>
    <w:rsid w:val="16A34FB2"/>
    <w:rsid w:val="17261E13"/>
    <w:rsid w:val="18263A39"/>
    <w:rsid w:val="18537335"/>
    <w:rsid w:val="193A6353"/>
    <w:rsid w:val="199425EB"/>
    <w:rsid w:val="19AE679E"/>
    <w:rsid w:val="1A837D2F"/>
    <w:rsid w:val="1B7B258D"/>
    <w:rsid w:val="1B84458B"/>
    <w:rsid w:val="1BD856D0"/>
    <w:rsid w:val="1C503D2C"/>
    <w:rsid w:val="1CD4402D"/>
    <w:rsid w:val="1D1E5216"/>
    <w:rsid w:val="1D5C6FE6"/>
    <w:rsid w:val="1E52424C"/>
    <w:rsid w:val="1EBA7B7A"/>
    <w:rsid w:val="20955F13"/>
    <w:rsid w:val="21BB3B30"/>
    <w:rsid w:val="21F54A5D"/>
    <w:rsid w:val="22237ABD"/>
    <w:rsid w:val="22A163D5"/>
    <w:rsid w:val="22AA599E"/>
    <w:rsid w:val="22AC427D"/>
    <w:rsid w:val="22AD0462"/>
    <w:rsid w:val="233D7329"/>
    <w:rsid w:val="23591F63"/>
    <w:rsid w:val="236478D2"/>
    <w:rsid w:val="236B2397"/>
    <w:rsid w:val="23D22493"/>
    <w:rsid w:val="23E55F98"/>
    <w:rsid w:val="249547D7"/>
    <w:rsid w:val="24C52E05"/>
    <w:rsid w:val="2540656B"/>
    <w:rsid w:val="25846127"/>
    <w:rsid w:val="264C5E94"/>
    <w:rsid w:val="265550AC"/>
    <w:rsid w:val="26637E3F"/>
    <w:rsid w:val="26935ECE"/>
    <w:rsid w:val="2707671E"/>
    <w:rsid w:val="276C6377"/>
    <w:rsid w:val="27A80535"/>
    <w:rsid w:val="27D31648"/>
    <w:rsid w:val="280D3DB5"/>
    <w:rsid w:val="286A2476"/>
    <w:rsid w:val="28C134B5"/>
    <w:rsid w:val="292F5FEC"/>
    <w:rsid w:val="295A0EA6"/>
    <w:rsid w:val="297656A6"/>
    <w:rsid w:val="29C33C02"/>
    <w:rsid w:val="2A3A3EC1"/>
    <w:rsid w:val="2A635B96"/>
    <w:rsid w:val="2ADB74D7"/>
    <w:rsid w:val="2B351060"/>
    <w:rsid w:val="2B7B4E18"/>
    <w:rsid w:val="2BA764A9"/>
    <w:rsid w:val="2C6314AC"/>
    <w:rsid w:val="2C8144CD"/>
    <w:rsid w:val="2CF82669"/>
    <w:rsid w:val="2DA830D9"/>
    <w:rsid w:val="2DB43D9E"/>
    <w:rsid w:val="2DC2405E"/>
    <w:rsid w:val="2E9E735A"/>
    <w:rsid w:val="2EB43EF7"/>
    <w:rsid w:val="2EF31F27"/>
    <w:rsid w:val="2F257D41"/>
    <w:rsid w:val="2FC36B68"/>
    <w:rsid w:val="30310A87"/>
    <w:rsid w:val="30560633"/>
    <w:rsid w:val="30C72393"/>
    <w:rsid w:val="30E36CD9"/>
    <w:rsid w:val="31782699"/>
    <w:rsid w:val="31A310B3"/>
    <w:rsid w:val="33226E62"/>
    <w:rsid w:val="33964A07"/>
    <w:rsid w:val="3402227D"/>
    <w:rsid w:val="343247FF"/>
    <w:rsid w:val="348C1708"/>
    <w:rsid w:val="34F506F2"/>
    <w:rsid w:val="35BA606F"/>
    <w:rsid w:val="35F96CAA"/>
    <w:rsid w:val="360C5856"/>
    <w:rsid w:val="362D58B4"/>
    <w:rsid w:val="36861C2F"/>
    <w:rsid w:val="36A05FA1"/>
    <w:rsid w:val="36E05C97"/>
    <w:rsid w:val="38674CA1"/>
    <w:rsid w:val="38946726"/>
    <w:rsid w:val="38CF010C"/>
    <w:rsid w:val="38FA5B29"/>
    <w:rsid w:val="394A040F"/>
    <w:rsid w:val="39882D60"/>
    <w:rsid w:val="3A0C487C"/>
    <w:rsid w:val="3ABC3105"/>
    <w:rsid w:val="3B00217F"/>
    <w:rsid w:val="3B5D2A45"/>
    <w:rsid w:val="3B911005"/>
    <w:rsid w:val="3BE57209"/>
    <w:rsid w:val="3C440D19"/>
    <w:rsid w:val="3C504D4B"/>
    <w:rsid w:val="3C9E1151"/>
    <w:rsid w:val="3D1B585D"/>
    <w:rsid w:val="3D242292"/>
    <w:rsid w:val="3D5C4FEC"/>
    <w:rsid w:val="3DE9530E"/>
    <w:rsid w:val="3E256747"/>
    <w:rsid w:val="3E660AD6"/>
    <w:rsid w:val="3EB403E8"/>
    <w:rsid w:val="3EB52881"/>
    <w:rsid w:val="3F266A30"/>
    <w:rsid w:val="3F6F23DD"/>
    <w:rsid w:val="400C55F1"/>
    <w:rsid w:val="407A23BB"/>
    <w:rsid w:val="414E41D7"/>
    <w:rsid w:val="41594397"/>
    <w:rsid w:val="418035D9"/>
    <w:rsid w:val="41BB1456"/>
    <w:rsid w:val="41E812B4"/>
    <w:rsid w:val="42CA4E41"/>
    <w:rsid w:val="42CC38B0"/>
    <w:rsid w:val="42D074F7"/>
    <w:rsid w:val="42FC4513"/>
    <w:rsid w:val="436B03B4"/>
    <w:rsid w:val="43995A8F"/>
    <w:rsid w:val="43BF209B"/>
    <w:rsid w:val="440F1DC4"/>
    <w:rsid w:val="453A481E"/>
    <w:rsid w:val="4580257A"/>
    <w:rsid w:val="458A7495"/>
    <w:rsid w:val="45D72591"/>
    <w:rsid w:val="45F57F6B"/>
    <w:rsid w:val="46561E53"/>
    <w:rsid w:val="46570418"/>
    <w:rsid w:val="46774F5A"/>
    <w:rsid w:val="46B300A5"/>
    <w:rsid w:val="46B90406"/>
    <w:rsid w:val="46C930AA"/>
    <w:rsid w:val="46E701CA"/>
    <w:rsid w:val="472C5F99"/>
    <w:rsid w:val="478E2F70"/>
    <w:rsid w:val="47972F66"/>
    <w:rsid w:val="47C17EA2"/>
    <w:rsid w:val="48850B8B"/>
    <w:rsid w:val="48F006B7"/>
    <w:rsid w:val="49423413"/>
    <w:rsid w:val="49424B1C"/>
    <w:rsid w:val="49AA1621"/>
    <w:rsid w:val="4A43488C"/>
    <w:rsid w:val="4A551A01"/>
    <w:rsid w:val="4AFD070E"/>
    <w:rsid w:val="4B493B54"/>
    <w:rsid w:val="4C0F4361"/>
    <w:rsid w:val="4C612065"/>
    <w:rsid w:val="4CC06AA5"/>
    <w:rsid w:val="4CC205DC"/>
    <w:rsid w:val="4CE01DB7"/>
    <w:rsid w:val="4D0737A5"/>
    <w:rsid w:val="4D277EA4"/>
    <w:rsid w:val="4D487502"/>
    <w:rsid w:val="4DF55447"/>
    <w:rsid w:val="4E233D62"/>
    <w:rsid w:val="4E9845E6"/>
    <w:rsid w:val="4EF40F32"/>
    <w:rsid w:val="4F0E76AD"/>
    <w:rsid w:val="4F477F24"/>
    <w:rsid w:val="4F7B4A3A"/>
    <w:rsid w:val="4FD635DB"/>
    <w:rsid w:val="50551558"/>
    <w:rsid w:val="50AD135C"/>
    <w:rsid w:val="50EA1CDA"/>
    <w:rsid w:val="515537FE"/>
    <w:rsid w:val="51743E40"/>
    <w:rsid w:val="520244B9"/>
    <w:rsid w:val="52CD303A"/>
    <w:rsid w:val="52F732A5"/>
    <w:rsid w:val="534F35D0"/>
    <w:rsid w:val="538C3E49"/>
    <w:rsid w:val="53BD42D5"/>
    <w:rsid w:val="53F254B5"/>
    <w:rsid w:val="544F369E"/>
    <w:rsid w:val="547370C6"/>
    <w:rsid w:val="54754936"/>
    <w:rsid w:val="54A01E6D"/>
    <w:rsid w:val="551C6A7C"/>
    <w:rsid w:val="554E2044"/>
    <w:rsid w:val="55D017E1"/>
    <w:rsid w:val="55D54B44"/>
    <w:rsid w:val="56123E84"/>
    <w:rsid w:val="56E5086E"/>
    <w:rsid w:val="570F6398"/>
    <w:rsid w:val="57297D57"/>
    <w:rsid w:val="576D7AB2"/>
    <w:rsid w:val="581B64FA"/>
    <w:rsid w:val="58831853"/>
    <w:rsid w:val="58BD2CCA"/>
    <w:rsid w:val="58D734BB"/>
    <w:rsid w:val="590A2D30"/>
    <w:rsid w:val="59837DDA"/>
    <w:rsid w:val="598840E7"/>
    <w:rsid w:val="59C86E83"/>
    <w:rsid w:val="5A264CB6"/>
    <w:rsid w:val="5A7F66C0"/>
    <w:rsid w:val="5AA56731"/>
    <w:rsid w:val="5AE96334"/>
    <w:rsid w:val="5B566DD5"/>
    <w:rsid w:val="5B5E5B95"/>
    <w:rsid w:val="5B6D261C"/>
    <w:rsid w:val="5B765E19"/>
    <w:rsid w:val="5BA92E00"/>
    <w:rsid w:val="5BB11B25"/>
    <w:rsid w:val="5BD056AC"/>
    <w:rsid w:val="5BE43EE2"/>
    <w:rsid w:val="5BEA2AB8"/>
    <w:rsid w:val="5C3761DC"/>
    <w:rsid w:val="5C3B260D"/>
    <w:rsid w:val="5D4D3792"/>
    <w:rsid w:val="5D75156A"/>
    <w:rsid w:val="5DBA6A41"/>
    <w:rsid w:val="5EE17D6C"/>
    <w:rsid w:val="5F03245D"/>
    <w:rsid w:val="5F336DA5"/>
    <w:rsid w:val="5F47341F"/>
    <w:rsid w:val="5FD4404B"/>
    <w:rsid w:val="6008644D"/>
    <w:rsid w:val="60CD5BAF"/>
    <w:rsid w:val="60F57DB5"/>
    <w:rsid w:val="610E3361"/>
    <w:rsid w:val="6133439E"/>
    <w:rsid w:val="615D1AB0"/>
    <w:rsid w:val="617500C1"/>
    <w:rsid w:val="61BE26FF"/>
    <w:rsid w:val="61FE2979"/>
    <w:rsid w:val="6243600E"/>
    <w:rsid w:val="62BF5F83"/>
    <w:rsid w:val="632378C8"/>
    <w:rsid w:val="6366472B"/>
    <w:rsid w:val="63896AAB"/>
    <w:rsid w:val="63F7207D"/>
    <w:rsid w:val="63F97459"/>
    <w:rsid w:val="6471711F"/>
    <w:rsid w:val="64866EAE"/>
    <w:rsid w:val="648B3FB8"/>
    <w:rsid w:val="652546CA"/>
    <w:rsid w:val="655D66DC"/>
    <w:rsid w:val="65793194"/>
    <w:rsid w:val="6649052C"/>
    <w:rsid w:val="66AD5CCF"/>
    <w:rsid w:val="6736736E"/>
    <w:rsid w:val="67F977CC"/>
    <w:rsid w:val="687D5258"/>
    <w:rsid w:val="688144D0"/>
    <w:rsid w:val="68E15D72"/>
    <w:rsid w:val="697A2F27"/>
    <w:rsid w:val="697F13C6"/>
    <w:rsid w:val="69DF2FA3"/>
    <w:rsid w:val="6A03260D"/>
    <w:rsid w:val="6AAE248D"/>
    <w:rsid w:val="6B344F15"/>
    <w:rsid w:val="6B496264"/>
    <w:rsid w:val="6B59252A"/>
    <w:rsid w:val="6BEB0C6B"/>
    <w:rsid w:val="6C410583"/>
    <w:rsid w:val="6C53185F"/>
    <w:rsid w:val="6C5517F8"/>
    <w:rsid w:val="6CDA5CC1"/>
    <w:rsid w:val="6D3946F3"/>
    <w:rsid w:val="6D517C23"/>
    <w:rsid w:val="6E973995"/>
    <w:rsid w:val="6F5C5F71"/>
    <w:rsid w:val="6FD13025"/>
    <w:rsid w:val="6FE52CEE"/>
    <w:rsid w:val="70646E95"/>
    <w:rsid w:val="709F213C"/>
    <w:rsid w:val="713C1464"/>
    <w:rsid w:val="715C7359"/>
    <w:rsid w:val="717A1220"/>
    <w:rsid w:val="71832A46"/>
    <w:rsid w:val="71E10BA9"/>
    <w:rsid w:val="72255A4C"/>
    <w:rsid w:val="725C175D"/>
    <w:rsid w:val="7265409A"/>
    <w:rsid w:val="727C16FF"/>
    <w:rsid w:val="72BB440D"/>
    <w:rsid w:val="72F17470"/>
    <w:rsid w:val="738E3EC2"/>
    <w:rsid w:val="73BD4784"/>
    <w:rsid w:val="749A13DF"/>
    <w:rsid w:val="74D96F99"/>
    <w:rsid w:val="755B0C90"/>
    <w:rsid w:val="761F1329"/>
    <w:rsid w:val="762B5068"/>
    <w:rsid w:val="768B1820"/>
    <w:rsid w:val="76986104"/>
    <w:rsid w:val="77096523"/>
    <w:rsid w:val="773639AE"/>
    <w:rsid w:val="77810AA3"/>
    <w:rsid w:val="77CB5783"/>
    <w:rsid w:val="77E7719B"/>
    <w:rsid w:val="784F5A1A"/>
    <w:rsid w:val="78795B26"/>
    <w:rsid w:val="796214DF"/>
    <w:rsid w:val="79666F56"/>
    <w:rsid w:val="79717A20"/>
    <w:rsid w:val="79A448B7"/>
    <w:rsid w:val="7A067429"/>
    <w:rsid w:val="7B3A4A90"/>
    <w:rsid w:val="7BA7005A"/>
    <w:rsid w:val="7C0C6300"/>
    <w:rsid w:val="7C3F7DA6"/>
    <w:rsid w:val="7C592391"/>
    <w:rsid w:val="7C8479B1"/>
    <w:rsid w:val="7D2D4FAC"/>
    <w:rsid w:val="7E355215"/>
    <w:rsid w:val="7E9A65DB"/>
    <w:rsid w:val="7EE31489"/>
    <w:rsid w:val="7EEB3EAF"/>
    <w:rsid w:val="7F333E41"/>
    <w:rsid w:val="7F9D431D"/>
    <w:rsid w:val="7FFB74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next w:val="6"/>
    <w:unhideWhenUsed/>
    <w:qFormat/>
    <w:uiPriority w:val="99"/>
    <w:pPr>
      <w:spacing w:line="420" w:lineRule="exact"/>
    </w:pPr>
    <w:rPr>
      <w:sz w:val="24"/>
    </w:rPr>
  </w:style>
  <w:style w:type="paragraph" w:customStyle="1" w:styleId="6">
    <w:name w:val="一级条标题"/>
    <w:basedOn w:val="7"/>
    <w:next w:val="8"/>
    <w:qFormat/>
    <w:uiPriority w:val="0"/>
    <w:pPr>
      <w:spacing w:line="240" w:lineRule="auto"/>
      <w:ind w:left="420"/>
      <w:outlineLvl w:val="2"/>
    </w:pPr>
  </w:style>
  <w:style w:type="paragraph" w:customStyle="1" w:styleId="7">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8">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9">
    <w:name w:val="Body Text Indent"/>
    <w:basedOn w:val="1"/>
    <w:next w:val="10"/>
    <w:link w:val="24"/>
    <w:qFormat/>
    <w:uiPriority w:val="0"/>
    <w:pPr>
      <w:ind w:left="360"/>
    </w:pPr>
    <w:rPr>
      <w:rFonts w:ascii="宋体"/>
      <w:sz w:val="20"/>
    </w:rPr>
  </w:style>
  <w:style w:type="paragraph" w:styleId="10">
    <w:name w:val="envelope return"/>
    <w:basedOn w:val="1"/>
    <w:qFormat/>
    <w:uiPriority w:val="0"/>
    <w:pPr>
      <w:snapToGrid w:val="0"/>
    </w:pPr>
    <w:rPr>
      <w:rFonts w:ascii="Arial" w:hAnsi="Arial"/>
    </w:rPr>
  </w:style>
  <w:style w:type="paragraph" w:styleId="11">
    <w:name w:val="Plain Text"/>
    <w:basedOn w:val="1"/>
    <w:qFormat/>
    <w:uiPriority w:val="0"/>
    <w:rPr>
      <w:rFonts w:ascii="宋体" w:hAnsi="Courier New" w:cs="Courier New"/>
      <w:szCs w:val="21"/>
    </w:rPr>
  </w:style>
  <w:style w:type="paragraph" w:styleId="12">
    <w:name w:val="Balloon Text"/>
    <w:basedOn w:val="1"/>
    <w:link w:val="20"/>
    <w:semiHidden/>
    <w:unhideWhenUsed/>
    <w:qFormat/>
    <w:uiPriority w:val="99"/>
    <w:rPr>
      <w:sz w:val="18"/>
      <w:szCs w:val="18"/>
    </w:rPr>
  </w:style>
  <w:style w:type="paragraph" w:styleId="13">
    <w:name w:val="footer"/>
    <w:basedOn w:val="1"/>
    <w:link w:val="19"/>
    <w:unhideWhenUsed/>
    <w:qFormat/>
    <w:uiPriority w:val="99"/>
    <w:pPr>
      <w:tabs>
        <w:tab w:val="center" w:pos="4153"/>
        <w:tab w:val="right" w:pos="8306"/>
      </w:tabs>
      <w:snapToGrid w:val="0"/>
      <w:jc w:val="left"/>
    </w:pPr>
    <w:rPr>
      <w:sz w:val="18"/>
      <w:szCs w:val="18"/>
    </w:rPr>
  </w:style>
  <w:style w:type="paragraph" w:styleId="14">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2"/>
    <w:basedOn w:val="9"/>
    <w:qFormat/>
    <w:uiPriority w:val="0"/>
    <w:pPr>
      <w:ind w:left="420" w:firstLine="420" w:firstLineChars="200"/>
    </w:pPr>
  </w:style>
  <w:style w:type="character" w:customStyle="1" w:styleId="18">
    <w:name w:val="页眉 字符"/>
    <w:basedOn w:val="17"/>
    <w:link w:val="14"/>
    <w:qFormat/>
    <w:uiPriority w:val="99"/>
    <w:rPr>
      <w:rFonts w:ascii="Times New Roman" w:hAnsi="Times New Roman" w:eastAsia="宋体" w:cs="Times New Roman"/>
      <w:sz w:val="18"/>
      <w:szCs w:val="18"/>
    </w:rPr>
  </w:style>
  <w:style w:type="character" w:customStyle="1" w:styleId="19">
    <w:name w:val="页脚 字符"/>
    <w:basedOn w:val="17"/>
    <w:link w:val="13"/>
    <w:qFormat/>
    <w:uiPriority w:val="99"/>
    <w:rPr>
      <w:rFonts w:ascii="Times New Roman" w:hAnsi="Times New Roman" w:eastAsia="宋体" w:cs="Times New Roman"/>
      <w:sz w:val="18"/>
      <w:szCs w:val="18"/>
    </w:rPr>
  </w:style>
  <w:style w:type="character" w:customStyle="1" w:styleId="20">
    <w:name w:val="批注框文本 字符"/>
    <w:basedOn w:val="17"/>
    <w:link w:val="12"/>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_Style 2"/>
    <w:basedOn w:val="1"/>
    <w:qFormat/>
    <w:uiPriority w:val="34"/>
    <w:pPr>
      <w:ind w:firstLine="420" w:firstLineChars="200"/>
    </w:pPr>
    <w:rPr>
      <w:rFonts w:ascii="Calibri" w:hAnsi="Calibri"/>
      <w:sz w:val="24"/>
      <w:szCs w:val="22"/>
    </w:rPr>
  </w:style>
  <w:style w:type="paragraph" w:customStyle="1" w:styleId="23">
    <w:name w:val="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24">
    <w:name w:val="正文文本缩进 字符"/>
    <w:basedOn w:val="17"/>
    <w:link w:val="9"/>
    <w:qFormat/>
    <w:uiPriority w:val="0"/>
    <w:rPr>
      <w:rFonts w:ascii="宋体" w:hAnsi="Times New Roman" w:eastAsia="宋体" w:cs="Times New Roman"/>
      <w:kern w:val="2"/>
    </w:rPr>
  </w:style>
  <w:style w:type="paragraph" w:styleId="2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9115</Words>
  <Characters>9742</Characters>
  <Lines>34</Lines>
  <Paragraphs>9</Paragraphs>
  <TotalTime>1</TotalTime>
  <ScaleCrop>false</ScaleCrop>
  <LinksUpToDate>false</LinksUpToDate>
  <CharactersWithSpaces>9947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2020-10-03T03:40:00Z</dcterms:created>
  <dc:creator>微软用户</dc:creator>
  <cp:lastModifiedBy>LIL</cp:lastModifiedBy>
  <dcterms:modified xsi:type="dcterms:W3CDTF">2022-03-17T18:42:37Z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289DF8113FFC407EA9683C9E1166B5A2</vt:lpwstr>
  </property>
</Properties>
</file>