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慈溪远航管系机械有限公司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慈溪市浒山街道天香桥村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岑华达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13906746374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315300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963781477@qq.com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0601-2021-Q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压力管道用密封元件（带加强环形金属缠绕垫片、复合增强垫片、非金属垫片、金属垫片）的生产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2021年07月15日 上午至2021年07月16日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13566606196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ISC-JSZJ-341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