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1022" w:type="dxa"/>
            <w:vAlign w:val="center"/>
          </w:tcPr>
          <w:p>
            <w:pPr>
              <w:rPr>
                <w:rFonts w:hint="default" w:eastAsia="宋体"/>
                <w:sz w:val="24"/>
                <w:szCs w:val="24"/>
                <w:lang w:val="en-US" w:eastAsia="zh-CN"/>
              </w:rPr>
            </w:pPr>
            <w:r>
              <w:rPr>
                <w:rFonts w:hint="eastAsia"/>
                <w:sz w:val="24"/>
                <w:szCs w:val="24"/>
              </w:rPr>
              <w:t xml:space="preserve">受审核部门：  管理层             主管领导    </w:t>
            </w:r>
            <w:r>
              <w:rPr>
                <w:rFonts w:hint="eastAsia"/>
                <w:sz w:val="24"/>
                <w:szCs w:val="24"/>
                <w:lang w:val="en-US" w:eastAsia="zh-CN"/>
              </w:rPr>
              <w:t>徐秀卉—</w:t>
            </w:r>
            <w:r>
              <w:rPr>
                <w:rFonts w:hint="eastAsia"/>
                <w:sz w:val="24"/>
                <w:szCs w:val="24"/>
              </w:rPr>
              <w:t xml:space="preserve">总经理   </w:t>
            </w:r>
            <w:r>
              <w:rPr>
                <w:rFonts w:hint="eastAsia" w:ascii="Times New Roman" w:hAnsi="Times New Roman" w:eastAsia="宋体" w:cs="Times New Roman"/>
                <w:sz w:val="24"/>
                <w:szCs w:val="24"/>
                <w:lang w:val="en-US" w:eastAsia="zh-CN"/>
              </w:rPr>
              <w:t>陆振宇—管理者代表</w:t>
            </w:r>
            <w:r>
              <w:rPr>
                <w:rFonts w:hint="eastAsia"/>
                <w:sz w:val="24"/>
                <w:szCs w:val="24"/>
              </w:rPr>
              <w:t xml:space="preserve">       陪同人员 </w:t>
            </w:r>
            <w:r>
              <w:rPr>
                <w:rFonts w:hint="eastAsia"/>
                <w:sz w:val="24"/>
                <w:szCs w:val="24"/>
                <w:lang w:eastAsia="zh-CN"/>
              </w:rPr>
              <w:t>：</w:t>
            </w:r>
            <w:r>
              <w:rPr>
                <w:rFonts w:hint="eastAsia"/>
                <w:sz w:val="24"/>
                <w:szCs w:val="24"/>
                <w:lang w:val="en-US" w:eastAsia="zh-CN"/>
              </w:rPr>
              <w:t>葛东海</w:t>
            </w:r>
          </w:p>
        </w:tc>
        <w:tc>
          <w:tcPr>
            <w:tcW w:w="1417"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1022" w:type="dxa"/>
            <w:vAlign w:val="center"/>
          </w:tcPr>
          <w:p>
            <w:pPr>
              <w:rPr>
                <w:rFonts w:hint="default" w:eastAsia="宋体"/>
                <w:sz w:val="24"/>
                <w:szCs w:val="24"/>
                <w:lang w:val="en-US" w:eastAsia="zh-CN"/>
              </w:rPr>
            </w:pPr>
            <w:r>
              <w:rPr>
                <w:rFonts w:hint="eastAsia"/>
                <w:sz w:val="24"/>
                <w:szCs w:val="24"/>
              </w:rPr>
              <w:t xml:space="preserve">审核员：   </w:t>
            </w:r>
            <w:r>
              <w:rPr>
                <w:rFonts w:hint="eastAsia"/>
                <w:sz w:val="24"/>
                <w:szCs w:val="24"/>
                <w:lang w:val="en-US" w:eastAsia="zh-CN"/>
              </w:rPr>
              <w:t>李丽英</w:t>
            </w:r>
            <w:r>
              <w:rPr>
                <w:rFonts w:hint="eastAsia"/>
                <w:sz w:val="24"/>
                <w:szCs w:val="24"/>
              </w:rPr>
              <w:t xml:space="preserve">                     审核时间： </w:t>
            </w:r>
            <w:r>
              <w:rPr>
                <w:sz w:val="24"/>
                <w:szCs w:val="24"/>
              </w:rPr>
              <w:t>2021.07.</w:t>
            </w:r>
            <w:r>
              <w:rPr>
                <w:rFonts w:hint="eastAsia"/>
                <w:sz w:val="24"/>
                <w:szCs w:val="24"/>
                <w:lang w:val="en-US" w:eastAsia="zh-CN"/>
              </w:rPr>
              <w:t>11</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1022" w:type="dxa"/>
            <w:vAlign w:val="center"/>
          </w:tcPr>
          <w:p>
            <w:pPr>
              <w:rPr>
                <w:sz w:val="24"/>
                <w:szCs w:val="24"/>
              </w:rPr>
            </w:pPr>
            <w:r>
              <w:rPr>
                <w:rFonts w:hint="eastAsia"/>
                <w:sz w:val="24"/>
                <w:szCs w:val="24"/>
              </w:rPr>
              <w:t xml:space="preserve">审核条款： </w:t>
            </w:r>
            <w:r>
              <w:rPr>
                <w:sz w:val="24"/>
                <w:szCs w:val="24"/>
              </w:rPr>
              <w:t xml:space="preserve"> E</w:t>
            </w:r>
            <w:r>
              <w:rPr>
                <w:rFonts w:hint="eastAsia"/>
                <w:sz w:val="24"/>
                <w:szCs w:val="24"/>
              </w:rPr>
              <w:t>n:</w:t>
            </w:r>
            <w:r>
              <w:rPr>
                <w:sz w:val="24"/>
                <w:szCs w:val="24"/>
              </w:rPr>
              <w:t xml:space="preserve">  4.1</w:t>
            </w:r>
            <w:r>
              <w:rPr>
                <w:rFonts w:hint="eastAsia"/>
                <w:sz w:val="24"/>
                <w:szCs w:val="24"/>
              </w:rPr>
              <w:t>；4</w:t>
            </w:r>
            <w:r>
              <w:rPr>
                <w:sz w:val="24"/>
                <w:szCs w:val="24"/>
              </w:rPr>
              <w:t>.2</w:t>
            </w:r>
            <w:r>
              <w:rPr>
                <w:rFonts w:hint="eastAsia"/>
                <w:sz w:val="24"/>
                <w:szCs w:val="24"/>
              </w:rPr>
              <w:t>；4</w:t>
            </w:r>
            <w:r>
              <w:rPr>
                <w:sz w:val="24"/>
                <w:szCs w:val="24"/>
              </w:rPr>
              <w:t>.3</w:t>
            </w:r>
            <w:r>
              <w:rPr>
                <w:rFonts w:hint="eastAsia"/>
                <w:sz w:val="24"/>
                <w:szCs w:val="24"/>
              </w:rPr>
              <w:t>；4</w:t>
            </w:r>
            <w:r>
              <w:rPr>
                <w:sz w:val="24"/>
                <w:szCs w:val="24"/>
              </w:rPr>
              <w:t>.4</w:t>
            </w:r>
            <w:r>
              <w:rPr>
                <w:rFonts w:hint="eastAsia"/>
                <w:sz w:val="24"/>
                <w:szCs w:val="24"/>
              </w:rPr>
              <w:t>；5</w:t>
            </w:r>
            <w:r>
              <w:rPr>
                <w:sz w:val="24"/>
                <w:szCs w:val="24"/>
              </w:rPr>
              <w:t>.1</w:t>
            </w:r>
            <w:r>
              <w:rPr>
                <w:rFonts w:hint="eastAsia"/>
                <w:sz w:val="24"/>
                <w:szCs w:val="24"/>
              </w:rPr>
              <w:t>；5</w:t>
            </w:r>
            <w:r>
              <w:rPr>
                <w:sz w:val="24"/>
                <w:szCs w:val="24"/>
              </w:rPr>
              <w:t>.2</w:t>
            </w:r>
            <w:r>
              <w:rPr>
                <w:rFonts w:hint="eastAsia"/>
                <w:sz w:val="24"/>
                <w:szCs w:val="24"/>
              </w:rPr>
              <w:t>；5</w:t>
            </w:r>
            <w:r>
              <w:rPr>
                <w:sz w:val="24"/>
                <w:szCs w:val="24"/>
              </w:rPr>
              <w:t>.3</w:t>
            </w:r>
            <w:r>
              <w:rPr>
                <w:rFonts w:hint="eastAsia"/>
                <w:sz w:val="24"/>
                <w:szCs w:val="24"/>
              </w:rPr>
              <w:t>；6</w:t>
            </w:r>
            <w:r>
              <w:rPr>
                <w:sz w:val="24"/>
                <w:szCs w:val="24"/>
              </w:rPr>
              <w:t>.1</w:t>
            </w:r>
            <w:r>
              <w:rPr>
                <w:rFonts w:hint="eastAsia"/>
                <w:sz w:val="24"/>
                <w:szCs w:val="24"/>
              </w:rPr>
              <w:t>；7</w:t>
            </w:r>
            <w:r>
              <w:rPr>
                <w:sz w:val="24"/>
                <w:szCs w:val="24"/>
              </w:rPr>
              <w:t>.1</w:t>
            </w:r>
            <w:r>
              <w:rPr>
                <w:rFonts w:hint="eastAsia"/>
                <w:sz w:val="24"/>
                <w:szCs w:val="24"/>
              </w:rPr>
              <w:t>；9</w:t>
            </w:r>
            <w:r>
              <w:rPr>
                <w:sz w:val="24"/>
                <w:szCs w:val="24"/>
              </w:rPr>
              <w:t>.3</w:t>
            </w:r>
            <w:r>
              <w:rPr>
                <w:rFonts w:hint="eastAsia"/>
                <w:sz w:val="24"/>
                <w:szCs w:val="24"/>
              </w:rPr>
              <w:t>；1</w:t>
            </w:r>
            <w:r>
              <w:rPr>
                <w:sz w:val="24"/>
                <w:szCs w:val="24"/>
              </w:rPr>
              <w:t>0.2</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 w:val="24"/>
                <w:szCs w:val="24"/>
              </w:rPr>
            </w:pPr>
            <w:r>
              <w:rPr>
                <w:rFonts w:hint="eastAsia" w:eastAsia="宋体" w:cs="Times New Roman" w:asciiTheme="minorEastAsia" w:hAnsiTheme="minorEastAsia"/>
                <w:sz w:val="24"/>
                <w:szCs w:val="24"/>
              </w:rPr>
              <w:t>公司基本情况</w:t>
            </w:r>
          </w:p>
        </w:tc>
        <w:tc>
          <w:tcPr>
            <w:tcW w:w="960" w:type="dxa"/>
            <w:vAlign w:val="center"/>
          </w:tcPr>
          <w:p>
            <w:pPr>
              <w:rPr>
                <w:sz w:val="24"/>
                <w:szCs w:val="24"/>
              </w:rPr>
            </w:pP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陆振宇—管理者代表介绍</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heme="minorEastAsia" w:hAnsiTheme="minorEastAsia"/>
                <w:sz w:val="24"/>
                <w:szCs w:val="24"/>
              </w:rPr>
            </w:pPr>
            <w:r>
              <w:rPr>
                <w:rFonts w:hint="eastAsia"/>
                <w:sz w:val="24"/>
                <w:szCs w:val="24"/>
                <w:lang w:val="en-US" w:eastAsia="zh-CN"/>
              </w:rPr>
              <w:t xml:space="preserve"> </w:t>
            </w:r>
            <w:r>
              <w:rPr>
                <w:rFonts w:asciiTheme="minorEastAsia" w:hAnsiTheme="minorEastAsia"/>
                <w:sz w:val="24"/>
                <w:szCs w:val="24"/>
              </w:rPr>
              <w:t>杭州康恩贝制药有限公司是康恩贝旗下具有新型药物制剂核心技术优势的产业基地，坐落于钱塘江畔</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企业</w:t>
            </w:r>
            <w:r>
              <w:rPr>
                <w:rFonts w:asciiTheme="minorEastAsia" w:hAnsiTheme="minorEastAsia"/>
                <w:sz w:val="24"/>
                <w:szCs w:val="24"/>
              </w:rPr>
              <w:t>重点发展泌尿、内分泌、消化、心血管等系统的新型药物制剂。</w:t>
            </w:r>
            <w:r>
              <w:rPr>
                <w:rFonts w:hint="eastAsia" w:asciiTheme="minorEastAsia" w:hAnsiTheme="minorEastAsia"/>
                <w:sz w:val="24"/>
                <w:szCs w:val="24"/>
                <w:lang w:val="en-US" w:eastAsia="zh-CN"/>
              </w:rPr>
              <w:t>已</w:t>
            </w:r>
            <w:r>
              <w:rPr>
                <w:rFonts w:asciiTheme="minorEastAsia" w:hAnsiTheme="minorEastAsia"/>
                <w:sz w:val="24"/>
                <w:szCs w:val="24"/>
              </w:rPr>
              <w:t>通过国家2010</w:t>
            </w:r>
            <w:r>
              <w:rPr>
                <w:rFonts w:hint="eastAsia" w:asciiTheme="minorEastAsia" w:hAnsiTheme="minorEastAsia"/>
                <w:sz w:val="24"/>
                <w:szCs w:val="24"/>
              </w:rPr>
              <w:t>年</w:t>
            </w:r>
            <w:r>
              <w:rPr>
                <w:rFonts w:asciiTheme="minorEastAsia" w:hAnsiTheme="minorEastAsia"/>
                <w:sz w:val="24"/>
                <w:szCs w:val="24"/>
              </w:rPr>
              <w:t>版药品GMP认证，</w:t>
            </w:r>
            <w:r>
              <w:rPr>
                <w:rFonts w:hint="eastAsia" w:asciiTheme="minorEastAsia" w:hAnsiTheme="minorEastAsia"/>
                <w:sz w:val="24"/>
                <w:szCs w:val="24"/>
              </w:rPr>
              <w:t>以及</w:t>
            </w:r>
            <w:r>
              <w:rPr>
                <w:rFonts w:asciiTheme="minorEastAsia" w:hAnsiTheme="minorEastAsia"/>
                <w:sz w:val="24"/>
                <w:szCs w:val="24"/>
              </w:rPr>
              <w:t>ISO14001、</w:t>
            </w:r>
            <w:r>
              <w:rPr>
                <w:rFonts w:hint="eastAsia" w:asciiTheme="minorEastAsia" w:hAnsiTheme="minorEastAsia"/>
                <w:sz w:val="24"/>
                <w:szCs w:val="24"/>
                <w:lang w:val="en-US" w:eastAsia="zh-CN"/>
              </w:rPr>
              <w:t>ISO45001</w:t>
            </w:r>
            <w:r>
              <w:rPr>
                <w:rFonts w:hint="eastAsia" w:asciiTheme="minorEastAsia" w:hAnsiTheme="minorEastAsia"/>
                <w:sz w:val="24"/>
                <w:szCs w:val="24"/>
              </w:rPr>
              <w:t>两</w:t>
            </w:r>
            <w:r>
              <w:rPr>
                <w:rFonts w:asciiTheme="minorEastAsia" w:hAnsiTheme="minorEastAsia"/>
                <w:sz w:val="24"/>
                <w:szCs w:val="24"/>
              </w:rPr>
              <w:t>项国际标准化体系认证，先后被认定为国家高新技术企业、浙江省高新技术企业研究开发中心、浙江省创新性试点企业、浙江省成长型中小企业、浙江省专利示范企业、杭州高新区(滨江)瞪羚企业等荣誉称号。</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heme="minorEastAsia" w:hAnsiTheme="minorEastAsia"/>
                <w:sz w:val="24"/>
                <w:szCs w:val="24"/>
              </w:rPr>
            </w:pPr>
            <w:r>
              <w:rPr>
                <w:rFonts w:asciiTheme="minorEastAsia" w:hAnsiTheme="minorEastAsia"/>
                <w:sz w:val="24"/>
                <w:szCs w:val="24"/>
              </w:rPr>
              <w:t>公司现有三个固体制剂生产车间，一个制剂研发中心，主体车间建筑面积7200m</w:t>
            </w:r>
            <w:r>
              <w:rPr>
                <w:rFonts w:asciiTheme="minorEastAsia" w:hAnsiTheme="minorEastAsia"/>
                <w:sz w:val="24"/>
                <w:szCs w:val="24"/>
                <w:vertAlign w:val="superscript"/>
              </w:rPr>
              <w:t>2</w:t>
            </w:r>
            <w:r>
              <w:rPr>
                <w:rFonts w:asciiTheme="minorEastAsia" w:hAnsiTheme="minorEastAsia"/>
                <w:sz w:val="24"/>
                <w:szCs w:val="24"/>
              </w:rPr>
              <w:t>，其中洁净区面积3400m</w:t>
            </w:r>
            <w:r>
              <w:rPr>
                <w:rFonts w:asciiTheme="minorEastAsia" w:hAnsiTheme="minorEastAsia"/>
                <w:sz w:val="24"/>
                <w:szCs w:val="24"/>
                <w:vertAlign w:val="superscript"/>
              </w:rPr>
              <w:t>2</w:t>
            </w:r>
            <w:r>
              <w:rPr>
                <w:rFonts w:asciiTheme="minorEastAsia" w:hAnsiTheme="minorEastAsia"/>
                <w:sz w:val="24"/>
                <w:szCs w:val="24"/>
              </w:rPr>
              <w:t>，生产规模：片剂</w:t>
            </w:r>
            <w:r>
              <w:rPr>
                <w:rFonts w:hint="eastAsia" w:asciiTheme="minorEastAsia" w:hAnsiTheme="minorEastAsia"/>
                <w:sz w:val="24"/>
                <w:szCs w:val="24"/>
              </w:rPr>
              <w:t>7</w:t>
            </w:r>
            <w:r>
              <w:rPr>
                <w:rFonts w:asciiTheme="minorEastAsia" w:hAnsiTheme="minorEastAsia"/>
                <w:sz w:val="24"/>
                <w:szCs w:val="24"/>
              </w:rPr>
              <w:t>亿片/年，胶囊剂</w:t>
            </w:r>
            <w:r>
              <w:rPr>
                <w:rFonts w:hint="eastAsia" w:asciiTheme="minorEastAsia" w:hAnsiTheme="minorEastAsia"/>
                <w:sz w:val="24"/>
                <w:szCs w:val="24"/>
              </w:rPr>
              <w:t>5</w:t>
            </w:r>
            <w:r>
              <w:rPr>
                <w:rFonts w:asciiTheme="minorEastAsia" w:hAnsiTheme="minorEastAsia"/>
                <w:sz w:val="24"/>
                <w:szCs w:val="24"/>
              </w:rPr>
              <w:t>亿粒/年，颗粒剂</w:t>
            </w:r>
            <w:r>
              <w:rPr>
                <w:rFonts w:hint="eastAsia" w:asciiTheme="minorEastAsia" w:hAnsiTheme="minorEastAsia"/>
                <w:sz w:val="24"/>
                <w:szCs w:val="24"/>
              </w:rPr>
              <w:t>5</w:t>
            </w:r>
            <w:r>
              <w:rPr>
                <w:rFonts w:asciiTheme="minorEastAsia" w:hAnsiTheme="minorEastAsia"/>
                <w:sz w:val="24"/>
                <w:szCs w:val="24"/>
              </w:rPr>
              <w:t>000万袋/年，散剂</w:t>
            </w:r>
            <w:r>
              <w:rPr>
                <w:rFonts w:hint="eastAsia" w:asciiTheme="minorEastAsia" w:hAnsiTheme="minorEastAsia"/>
                <w:sz w:val="24"/>
                <w:szCs w:val="24"/>
              </w:rPr>
              <w:t>35</w:t>
            </w:r>
            <w:r>
              <w:rPr>
                <w:rFonts w:asciiTheme="minorEastAsia" w:hAnsiTheme="minorEastAsia"/>
                <w:sz w:val="24"/>
                <w:szCs w:val="24"/>
              </w:rPr>
              <w:t>00万袋/年；引进德国、英国、意大利、美国、韩国等国际先进的生产设备和检测仪器,在国内处领先水平。</w:t>
            </w:r>
            <w:r>
              <w:rPr>
                <w:rFonts w:asciiTheme="minorEastAsia" w:hAnsiTheme="minorEastAsia"/>
                <w:sz w:val="24"/>
                <w:szCs w:val="24"/>
              </w:rPr>
              <w:br w:type="textWrapping"/>
            </w:r>
            <w:r>
              <w:rPr>
                <w:rFonts w:hint="eastAsia" w:asciiTheme="minorEastAsia" w:hAnsiTheme="minorEastAsia"/>
                <w:sz w:val="24"/>
                <w:szCs w:val="24"/>
              </w:rPr>
              <w:t xml:space="preserve"> </w:t>
            </w:r>
            <w:r>
              <w:rPr>
                <w:rFonts w:asciiTheme="minorEastAsia" w:hAnsiTheme="minorEastAsia"/>
                <w:sz w:val="24"/>
                <w:szCs w:val="24"/>
              </w:rPr>
              <w:t xml:space="preserve">   公司产品拥有多项国家级专利技术，并将专利优势转化为产品优势，必坦</w:t>
            </w:r>
            <w:r>
              <w:rPr>
                <w:rFonts w:hint="eastAsia" w:asciiTheme="minorEastAsia" w:hAnsiTheme="minorEastAsia"/>
                <w:sz w:val="24"/>
                <w:szCs w:val="24"/>
              </w:rPr>
              <w:t>和</w:t>
            </w:r>
            <w:r>
              <w:rPr>
                <w:rFonts w:asciiTheme="minorEastAsia" w:hAnsiTheme="minorEastAsia"/>
                <w:sz w:val="24"/>
                <w:szCs w:val="24"/>
              </w:rPr>
              <w:t>唐贝克缓释微丸技术、金康普力流化包衣</w:t>
            </w:r>
            <w:r>
              <w:rPr>
                <w:rFonts w:hint="eastAsia" w:asciiTheme="minorEastAsia" w:hAnsiTheme="minorEastAsia"/>
                <w:sz w:val="24"/>
                <w:szCs w:val="24"/>
              </w:rPr>
              <w:t>肠溶</w:t>
            </w:r>
            <w:r>
              <w:rPr>
                <w:rFonts w:asciiTheme="minorEastAsia" w:hAnsiTheme="minorEastAsia"/>
                <w:sz w:val="24"/>
                <w:szCs w:val="24"/>
              </w:rPr>
              <w:t>微丸技术、天保宁EGB多项专利技术等使得产品具有核心技术优势，具备较高的品牌知名度，在各自领域获得专家、医生、患者的高度认可，在同类竞争产品中有显著的品牌优势。</w:t>
            </w:r>
            <w:r>
              <w:rPr>
                <w:rFonts w:asciiTheme="minorEastAsia" w:hAnsiTheme="minorEastAsia"/>
                <w:sz w:val="24"/>
                <w:szCs w:val="24"/>
              </w:rPr>
              <w:br w:type="textWrapping"/>
            </w:r>
            <w:r>
              <w:rPr>
                <w:rFonts w:asciiTheme="minorEastAsia" w:hAnsiTheme="minorEastAsia"/>
                <w:sz w:val="24"/>
                <w:szCs w:val="24"/>
              </w:rPr>
              <w:t xml:space="preserve">    公司多个项目荣获国家火炬计划、浙江省医药制剂潜在培育品种及主导品种、省重大专项、浙江省科学技术进步奖、中国医药质量协会QC管理优秀奖、中国药学会科技进步奖等奖项。</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公司积极响应国家对药品一致性评价的政策导向，对公司的主要产品及时开展了一致性评价工作，至2020年公司共取得了蒙脱石散、盐酸坦索罗辛缓释胶囊</w:t>
            </w:r>
            <w:r>
              <w:rPr>
                <w:rFonts w:hint="eastAsia" w:asciiTheme="minorEastAsia" w:hAnsiTheme="minorEastAsia"/>
                <w:sz w:val="24"/>
                <w:szCs w:val="24"/>
                <w:lang w:val="en-US" w:eastAsia="zh-CN"/>
              </w:rPr>
              <w:t>(必坦）</w:t>
            </w:r>
            <w:r>
              <w:rPr>
                <w:rFonts w:hint="eastAsia" w:asciiTheme="minorEastAsia" w:hAnsiTheme="minorEastAsia"/>
                <w:sz w:val="24"/>
                <w:szCs w:val="24"/>
              </w:rPr>
              <w:t>、非那雄胺片和泮托拉唑钠肠溶片</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泮托拉唑</w:t>
            </w:r>
            <w:r>
              <w:rPr>
                <w:rFonts w:hint="eastAsia" w:asciiTheme="minorEastAsia" w:hAnsiTheme="minorEastAsia"/>
                <w:sz w:val="24"/>
                <w:szCs w:val="24"/>
                <w:lang w:eastAsia="zh-CN"/>
              </w:rPr>
              <w:t>）</w:t>
            </w:r>
            <w:r>
              <w:rPr>
                <w:rFonts w:hint="eastAsia" w:asciiTheme="minorEastAsia" w:hAnsiTheme="minorEastAsia"/>
                <w:sz w:val="24"/>
                <w:szCs w:val="24"/>
              </w:rPr>
              <w:t>四个产品的一致性评价补充批件，其中泮托拉唑钠肠溶片是首家过评的产品，将成为公司未来新的经济增长点。</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Helvetica" w:hAnsi="Helvetica" w:eastAsia="Helvetica" w:cs="Helvetica"/>
                <w:i w:val="0"/>
                <w:iCs w:val="0"/>
                <w:caps w:val="0"/>
                <w:color w:val="auto"/>
                <w:spacing w:val="0"/>
                <w:kern w:val="0"/>
                <w:sz w:val="24"/>
                <w:szCs w:val="24"/>
                <w:shd w:val="clear" w:fill="FFFFFF"/>
                <w:lang w:val="en-US" w:eastAsia="zh-CN" w:bidi="ar"/>
              </w:rPr>
            </w:pPr>
            <w:r>
              <w:rPr>
                <w:rFonts w:asciiTheme="minorEastAsia" w:hAnsiTheme="minorEastAsia"/>
                <w:sz w:val="24"/>
                <w:szCs w:val="24"/>
              </w:rPr>
              <w:t>公司以技术为驱动，以人才为根本，拥有一支由高、中级职称的技术人员组成的专业研发队伍，专注于新型药物制剂研究、生产，与国内知名大专院校建立了长期战略合作，公司将努力成为国内新型药物制剂的创导者。</w:t>
            </w:r>
          </w:p>
          <w:p>
            <w:pPr>
              <w:keepNext w:val="0"/>
              <w:keepLines w:val="0"/>
              <w:pageBreakBefore w:val="0"/>
              <w:widowControl w:val="0"/>
              <w:tabs>
                <w:tab w:val="left" w:pos="2250"/>
              </w:tabs>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szCs w:val="21"/>
              </w:rPr>
            </w:pPr>
            <w:r>
              <w:rPr>
                <w:rFonts w:hint="default" w:ascii="Helvetica" w:hAnsi="Helvetica" w:eastAsia="Helvetica" w:cs="Helvetica"/>
                <w:i w:val="0"/>
                <w:iCs w:val="0"/>
                <w:caps w:val="0"/>
                <w:color w:val="auto"/>
                <w:spacing w:val="0"/>
                <w:kern w:val="0"/>
                <w:sz w:val="24"/>
                <w:szCs w:val="24"/>
                <w:shd w:val="clear" w:fill="FFFFFF"/>
                <w:lang w:val="en-US" w:eastAsia="zh-CN" w:bidi="ar"/>
              </w:rPr>
              <w:t>公司现有员工</w:t>
            </w:r>
            <w:r>
              <w:rPr>
                <w:rFonts w:hint="eastAsia" w:ascii="Helvetica" w:hAnsi="Helvetica" w:eastAsia="Helvetica" w:cs="Helvetica"/>
                <w:i w:val="0"/>
                <w:iCs w:val="0"/>
                <w:caps w:val="0"/>
                <w:color w:val="auto"/>
                <w:spacing w:val="0"/>
                <w:kern w:val="0"/>
                <w:sz w:val="24"/>
                <w:szCs w:val="24"/>
                <w:shd w:val="clear" w:fill="FFFFFF"/>
                <w:lang w:val="en-US" w:eastAsia="zh-CN" w:bidi="ar"/>
              </w:rPr>
              <w:t>170人（截止2021年6月底）</w:t>
            </w:r>
            <w:r>
              <w:rPr>
                <w:rFonts w:hint="default" w:ascii="Helvetica" w:hAnsi="Helvetica" w:eastAsia="Helvetica" w:cs="Helvetica"/>
                <w:i w:val="0"/>
                <w:iCs w:val="0"/>
                <w:caps w:val="0"/>
                <w:color w:val="auto"/>
                <w:spacing w:val="0"/>
                <w:kern w:val="0"/>
                <w:sz w:val="24"/>
                <w:szCs w:val="24"/>
                <w:shd w:val="clear" w:fill="FFFFFF"/>
                <w:lang w:val="en-US" w:eastAsia="zh-CN" w:bidi="ar"/>
              </w:rPr>
              <w:t>，</w:t>
            </w:r>
            <w:r>
              <w:rPr>
                <w:rFonts w:hint="eastAsia" w:ascii="宋体" w:hAnsi="宋体" w:cs="黑体"/>
                <w:color w:val="auto"/>
                <w:sz w:val="24"/>
                <w:szCs w:val="24"/>
              </w:rPr>
              <w:t>经</w:t>
            </w:r>
            <w:r>
              <w:rPr>
                <w:rFonts w:hint="eastAsia" w:ascii="宋体" w:hAnsi="宋体" w:cs="黑体"/>
                <w:color w:val="auto"/>
                <w:sz w:val="24"/>
                <w:szCs w:val="24"/>
                <w:lang w:val="en-US" w:eastAsia="zh-CN"/>
              </w:rPr>
              <w:t>现场</w:t>
            </w:r>
            <w:r>
              <w:rPr>
                <w:rFonts w:hint="eastAsia" w:ascii="宋体" w:hAnsi="宋体" w:cs="黑体"/>
                <w:color w:val="auto"/>
                <w:sz w:val="24"/>
                <w:szCs w:val="24"/>
              </w:rPr>
              <w:t>核实涉及能源管理体系覆盖员工</w:t>
            </w:r>
            <w:r>
              <w:rPr>
                <w:rFonts w:hint="eastAsia" w:ascii="宋体" w:hAnsi="宋体" w:cs="黑体"/>
                <w:color w:val="auto"/>
                <w:sz w:val="24"/>
                <w:szCs w:val="24"/>
                <w:lang w:val="en-US" w:eastAsia="zh-CN"/>
              </w:rPr>
              <w:t>72</w:t>
            </w:r>
            <w:r>
              <w:rPr>
                <w:rFonts w:hint="eastAsia" w:ascii="宋体" w:hAnsi="宋体" w:cs="黑体"/>
                <w:color w:val="auto"/>
                <w:sz w:val="24"/>
                <w:szCs w:val="24"/>
              </w:rPr>
              <w:t>人</w:t>
            </w:r>
            <w:r>
              <w:rPr>
                <w:rFonts w:hint="eastAsia" w:ascii="宋体" w:hAnsi="宋体" w:cs="黑体"/>
                <w:color w:val="auto"/>
                <w:sz w:val="24"/>
                <w:szCs w:val="24"/>
                <w:lang w:eastAsia="zh-CN"/>
              </w:rPr>
              <w:t>。</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 w:val="24"/>
                <w:szCs w:val="24"/>
              </w:rPr>
            </w:pPr>
            <w:r>
              <w:rPr>
                <w:rFonts w:hint="eastAsia" w:eastAsia="宋体" w:cs="Times New Roman" w:asciiTheme="minorEastAsia" w:hAnsiTheme="minorEastAsia"/>
                <w:sz w:val="24"/>
                <w:szCs w:val="24"/>
              </w:rPr>
              <w:t>组织及其所处的环境</w:t>
            </w:r>
          </w:p>
        </w:tc>
        <w:tc>
          <w:tcPr>
            <w:tcW w:w="960" w:type="dxa"/>
            <w:vAlign w:val="center"/>
          </w:tcPr>
          <w:p>
            <w:pPr>
              <w:rPr>
                <w:sz w:val="24"/>
                <w:szCs w:val="24"/>
              </w:rPr>
            </w:pPr>
            <w:r>
              <w:rPr>
                <w:rFonts w:hint="eastAsia" w:ascii="宋体" w:hAnsi="宋体"/>
                <w:szCs w:val="21"/>
              </w:rPr>
              <w:t>4.1</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lang w:eastAsia="zh-CN"/>
              </w:rPr>
            </w:pPr>
            <w:r>
              <w:rPr>
                <w:rFonts w:hint="eastAsia" w:eastAsia="宋体" w:cs="Times New Roman" w:asciiTheme="minorEastAsia" w:hAnsiTheme="minorEastAsia"/>
                <w:sz w:val="24"/>
                <w:szCs w:val="24"/>
                <w:lang w:val="en-US" w:eastAsia="zh-CN"/>
              </w:rPr>
              <w:t>公司能源管理体系手册中明确了</w:t>
            </w:r>
            <w:r>
              <w:rPr>
                <w:rFonts w:hint="eastAsia" w:eastAsia="宋体" w:cs="Times New Roman" w:asciiTheme="minorEastAsia" w:hAnsiTheme="minorEastAsia"/>
                <w:sz w:val="24"/>
                <w:szCs w:val="24"/>
              </w:rPr>
              <w:t>影响</w:t>
            </w:r>
            <w:r>
              <w:rPr>
                <w:rFonts w:hint="eastAsia" w:eastAsia="宋体" w:cs="Times New Roman" w:asciiTheme="minorEastAsia" w:hAnsiTheme="minorEastAsia"/>
                <w:sz w:val="24"/>
                <w:szCs w:val="24"/>
                <w:lang w:val="en-US" w:eastAsia="zh-CN"/>
              </w:rPr>
              <w:t>企业</w:t>
            </w:r>
            <w:r>
              <w:rPr>
                <w:rFonts w:hint="eastAsia" w:eastAsia="宋体" w:cs="Times New Roman" w:asciiTheme="minorEastAsia" w:hAnsiTheme="minorEastAsia"/>
                <w:sz w:val="24"/>
                <w:szCs w:val="24"/>
              </w:rPr>
              <w:t>实现能源管理体系预期结果的各种内部和外部因素</w:t>
            </w:r>
            <w:r>
              <w:rPr>
                <w:rFonts w:hint="eastAsia" w:eastAsia="宋体" w:cs="Times New Roman"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rPr>
              <w:t xml:space="preserve">外部因素包括： 国内外宏观经济形势； 国家及当地政策； 行业技术水平； 法律法规； 能源供应，安全性、可靠性； 相关方； 竞争对手； 天气影响等等。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rPr>
              <w:t xml:space="preserve">通过对所处的外部环境及其关键因素综合评价，识别出外部获得的机会和面临的威胁。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rPr>
              <w:t>企业内部环境分析：对公司战略运行效果，财力、物力、人力、产品、技术等有形资源和无形资源利用状况，企业文化和组织结构，价值链和竞争能力等方面的信息进行分析，识别出内部具有的优势和存在的劣势。内部因素包括： 核心业务目标和战略； 资产管理计划； 组织的财力资源（人力、财力等）；能源管理的成熟度和文化；可持续发展方面的考虑；能源供应中断的应急计划；当前技术的成熟度；运营风险和责任方面的考虑。</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szCs w:val="21"/>
              </w:rPr>
            </w:pPr>
            <w:r>
              <w:rPr>
                <w:rFonts w:hint="eastAsia" w:eastAsia="宋体" w:cs="Times New Roman" w:asciiTheme="minorEastAsia" w:hAnsiTheme="minorEastAsia"/>
                <w:sz w:val="24"/>
                <w:szCs w:val="24"/>
              </w:rPr>
              <w:t xml:space="preserve"> 运用SWOT分析法，确定本企业自身的竞争优势（S）、竞争劣势（W）、机会（O）和威胁（T），用系统分析的思想，把各种因素相互匹配起来加以分析，得出一系列公司未来发展可供选择的对策，形成战略和方针。 </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理解相关方的需求和期望</w:t>
            </w:r>
          </w:p>
        </w:tc>
        <w:tc>
          <w:tcPr>
            <w:tcW w:w="960" w:type="dxa"/>
            <w:vAlign w:val="center"/>
          </w:tcPr>
          <w:p>
            <w:pPr>
              <w:rPr>
                <w:sz w:val="24"/>
                <w:szCs w:val="24"/>
              </w:rPr>
            </w:pPr>
            <w:r>
              <w:rPr>
                <w:rFonts w:hint="eastAsia" w:ascii="宋体" w:hAnsi="宋体"/>
                <w:szCs w:val="21"/>
              </w:rPr>
              <w:t>4.2</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lang w:eastAsia="zh-CN"/>
              </w:rPr>
            </w:pPr>
            <w:r>
              <w:rPr>
                <w:rFonts w:hint="eastAsia" w:eastAsia="宋体" w:cs="Times New Roman" w:asciiTheme="minorEastAsia" w:hAnsiTheme="minorEastAsia"/>
                <w:sz w:val="24"/>
                <w:szCs w:val="24"/>
              </w:rPr>
              <w:t>公司确定</w:t>
            </w:r>
            <w:r>
              <w:rPr>
                <w:rFonts w:hint="eastAsia" w:eastAsia="宋体" w:cs="Times New Roman" w:asciiTheme="minorEastAsia" w:hAnsiTheme="minorEastAsia"/>
                <w:sz w:val="24"/>
                <w:szCs w:val="24"/>
                <w:lang w:val="en-US" w:eastAsia="zh-CN"/>
              </w:rPr>
              <w:t>了相关方有</w:t>
            </w:r>
            <w:r>
              <w:rPr>
                <w:rFonts w:hint="eastAsia" w:eastAsia="宋体" w:cs="Times New Roman" w:asciiTheme="minorEastAsia" w:hAnsiTheme="minorEastAsia"/>
                <w:sz w:val="24"/>
                <w:szCs w:val="24"/>
              </w:rPr>
              <w:t>：与能源绩效和能源管理体系有关的相关方</w:t>
            </w:r>
            <w:r>
              <w:rPr>
                <w:rFonts w:hint="eastAsia" w:eastAsia="宋体" w:cs="Times New Roman" w:asciiTheme="minorEastAsia" w:hAnsiTheme="minorEastAsia"/>
                <w:sz w:val="24"/>
                <w:szCs w:val="24"/>
                <w:lang w:eastAsia="zh-CN"/>
              </w:rPr>
              <w:t>：</w:t>
            </w:r>
            <w:r>
              <w:rPr>
                <w:rFonts w:hint="eastAsia" w:eastAsia="宋体" w:cs="Times New Roman" w:asciiTheme="minorEastAsia" w:hAnsiTheme="minorEastAsia"/>
                <w:sz w:val="24"/>
                <w:szCs w:val="24"/>
              </w:rPr>
              <w:t>顾客、供应商、员工、审核方、政府机构等</w:t>
            </w:r>
            <w:r>
              <w:rPr>
                <w:rFonts w:hint="eastAsia" w:eastAsia="宋体" w:cs="Times New Roman"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识别</w:t>
            </w:r>
            <w:r>
              <w:rPr>
                <w:rFonts w:hint="eastAsia" w:eastAsia="宋体" w:cs="Times New Roman" w:asciiTheme="minorEastAsia" w:hAnsiTheme="minorEastAsia"/>
                <w:sz w:val="24"/>
                <w:szCs w:val="24"/>
              </w:rPr>
              <w:t>相关方的有关需求和期望；</w:t>
            </w:r>
            <w:r>
              <w:rPr>
                <w:rFonts w:hint="eastAsia" w:eastAsia="宋体" w:cs="Times New Roman" w:asciiTheme="minorEastAsia" w:hAnsiTheme="minorEastAsia"/>
                <w:sz w:val="24"/>
                <w:szCs w:val="24"/>
                <w:lang w:val="en-US" w:eastAsia="zh-CN"/>
              </w:rPr>
              <w:t>并在</w:t>
            </w:r>
            <w:r>
              <w:rPr>
                <w:rFonts w:hint="eastAsia" w:eastAsia="宋体" w:cs="Times New Roman" w:asciiTheme="minorEastAsia" w:hAnsiTheme="minorEastAsia"/>
                <w:sz w:val="24"/>
                <w:szCs w:val="24"/>
              </w:rPr>
              <w:t>能源管理体系</w:t>
            </w:r>
            <w:r>
              <w:rPr>
                <w:rFonts w:hint="eastAsia" w:eastAsia="宋体" w:cs="Times New Roman" w:asciiTheme="minorEastAsia" w:hAnsiTheme="minorEastAsia"/>
                <w:sz w:val="24"/>
                <w:szCs w:val="24"/>
                <w:lang w:val="en-US" w:eastAsia="zh-CN"/>
              </w:rPr>
              <w:t>运行中落实和完善</w:t>
            </w:r>
            <w:r>
              <w:rPr>
                <w:rFonts w:hint="eastAsia" w:eastAsia="宋体" w:cs="Times New Roman" w:asciiTheme="minorEastAsia" w:hAnsi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 xml:space="preserve">公司制定执行《法律法规及其他要求控制程序》和《合规性评价控制程序》，规定公司开展能源管理时如何获取相应的法律法规、标准及其他要求，以及适时进行合规性评价，以确保将法律法规及其他要求应用于能源管理活动中。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对</w:t>
            </w:r>
            <w:r>
              <w:rPr>
                <w:rFonts w:hint="eastAsia" w:eastAsia="宋体" w:cs="Times New Roman" w:asciiTheme="minorEastAsia" w:hAnsiTheme="minorEastAsia"/>
                <w:sz w:val="24"/>
                <w:szCs w:val="24"/>
              </w:rPr>
              <w:t>识别的能源管理体系相关方</w:t>
            </w:r>
            <w:r>
              <w:rPr>
                <w:rFonts w:hint="eastAsia" w:eastAsia="宋体" w:cs="Times New Roman" w:asciiTheme="minorEastAsia" w:hAnsiTheme="minorEastAsia"/>
                <w:sz w:val="24"/>
                <w:szCs w:val="24"/>
                <w:lang w:eastAsia="zh-CN"/>
              </w:rPr>
              <w:t>，</w:t>
            </w:r>
            <w:r>
              <w:rPr>
                <w:rFonts w:hint="eastAsia" w:eastAsia="宋体" w:cs="Times New Roman" w:asciiTheme="minorEastAsia" w:hAnsiTheme="minorEastAsia"/>
                <w:sz w:val="24"/>
                <w:szCs w:val="24"/>
              </w:rPr>
              <w:t>每年对相关方及其要求评审一次，发生变化时，采取措施应对。</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对顾客和供应商的评价及沟通，由物控部负责。具体运行情况见物控部审核记录。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rPr>
              <w:t>法律法规要求和其他要求的合规性评价</w:t>
            </w:r>
            <w:r>
              <w:rPr>
                <w:rFonts w:hint="eastAsia" w:eastAsia="宋体" w:cs="Times New Roman" w:asciiTheme="minorEastAsia" w:hAnsiTheme="minorEastAsia"/>
                <w:sz w:val="24"/>
                <w:szCs w:val="24"/>
                <w:lang w:val="en-US" w:eastAsia="zh-CN"/>
              </w:rPr>
              <w:t>有设备工程部负责。具体运行情况见设备工程部审核记录。</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 xml:space="preserve"> 确定能源管理体系的范围</w:t>
            </w:r>
          </w:p>
        </w:tc>
        <w:tc>
          <w:tcPr>
            <w:tcW w:w="960" w:type="dxa"/>
            <w:vAlign w:val="center"/>
          </w:tcPr>
          <w:p>
            <w:pPr>
              <w:rPr>
                <w:rFonts w:hint="eastAsia" w:ascii="宋体" w:hAnsi="宋体"/>
                <w:szCs w:val="21"/>
              </w:rPr>
            </w:pPr>
            <w:r>
              <w:rPr>
                <w:rFonts w:hint="eastAsia" w:ascii="宋体" w:hAnsi="宋体"/>
                <w:szCs w:val="21"/>
              </w:rPr>
              <w:t>4.3</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该企业</w:t>
            </w:r>
            <w:r>
              <w:rPr>
                <w:rFonts w:hint="eastAsia" w:eastAsia="宋体" w:cs="Times New Roman" w:asciiTheme="minorEastAsia" w:hAnsiTheme="minorEastAsia"/>
                <w:sz w:val="24"/>
                <w:szCs w:val="24"/>
              </w:rPr>
              <w:t>能源管理体系的边界和范围</w:t>
            </w:r>
            <w:r>
              <w:rPr>
                <w:rFonts w:hint="eastAsia" w:eastAsia="宋体" w:cs="Times New Roman" w:asciiTheme="minorEastAsia" w:hAnsiTheme="minorEastAsia"/>
                <w:sz w:val="24"/>
                <w:szCs w:val="24"/>
                <w:lang w:val="en-US" w:eastAsia="zh-CN"/>
              </w:rPr>
              <w:t>确定</w:t>
            </w:r>
            <w:r>
              <w:rPr>
                <w:rFonts w:hint="eastAsia" w:eastAsia="宋体" w:cs="Times New Roman"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eastAsia="zh-CN"/>
              </w:rPr>
              <w:t>杭州康恩贝制药有限公司</w:t>
            </w:r>
            <w:r>
              <w:rPr>
                <w:rFonts w:hint="eastAsia" w:eastAsia="宋体" w:cs="Times New Roman" w:asciiTheme="minorEastAsia" w:hAnsiTheme="minorEastAsia"/>
                <w:sz w:val="24"/>
                <w:szCs w:val="24"/>
              </w:rPr>
              <w:t>的</w:t>
            </w:r>
            <w:r>
              <w:rPr>
                <w:rFonts w:hint="eastAsia" w:eastAsia="宋体" w:cs="Times New Roman" w:asciiTheme="minorEastAsia" w:hAnsiTheme="minorEastAsia"/>
                <w:sz w:val="24"/>
                <w:szCs w:val="24"/>
                <w:lang w:eastAsia="zh-CN"/>
              </w:rPr>
              <w:t>片剂（含激素类）、胶囊剂、颗粒剂和散剂的设计开发和生产</w:t>
            </w:r>
            <w:r>
              <w:rPr>
                <w:rFonts w:hint="eastAsia" w:eastAsia="宋体" w:cs="Times New Roman" w:asciiTheme="minorEastAsia" w:hAnsiTheme="minorEastAsia"/>
                <w:sz w:val="24"/>
                <w:szCs w:val="24"/>
                <w:lang w:val="en-US" w:eastAsia="zh-CN"/>
              </w:rPr>
              <w:t>相关的能源管理活动。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核算边界：位于浙江省杭州市滨江区长河街道滨康路568号</w:t>
            </w:r>
            <w:r>
              <w:rPr>
                <w:rFonts w:hint="eastAsia" w:eastAsia="宋体" w:cs="Times New Roman" w:asciiTheme="minorEastAsia" w:hAnsiTheme="minorEastAsia"/>
                <w:sz w:val="24"/>
                <w:szCs w:val="24"/>
                <w:lang w:val="en-US" w:eastAsia="zh-CN"/>
              </w:rPr>
              <w:t>的</w:t>
            </w:r>
            <w:r>
              <w:rPr>
                <w:rFonts w:hint="eastAsia" w:eastAsia="宋体" w:cs="Times New Roman" w:asciiTheme="minorEastAsia" w:hAnsiTheme="minorEastAsia"/>
                <w:sz w:val="24"/>
                <w:szCs w:val="24"/>
                <w:lang w:eastAsia="zh-CN"/>
              </w:rPr>
              <w:t>杭州康恩贝制药有限公司</w:t>
            </w:r>
            <w:r>
              <w:rPr>
                <w:rFonts w:hint="eastAsia" w:eastAsia="宋体" w:cs="Times New Roman" w:asciiTheme="minorEastAsia" w:hAnsiTheme="minorEastAsia"/>
                <w:sz w:val="24"/>
                <w:szCs w:val="24"/>
                <w:lang w:val="en-US" w:eastAsia="zh-CN"/>
              </w:rPr>
              <w:t>的</w:t>
            </w:r>
            <w:r>
              <w:rPr>
                <w:rFonts w:hint="eastAsia" w:eastAsia="宋体" w:cs="Times New Roman" w:asciiTheme="minorEastAsia" w:hAnsiTheme="minorEastAsia"/>
                <w:sz w:val="24"/>
                <w:szCs w:val="24"/>
                <w:lang w:eastAsia="zh-CN"/>
              </w:rPr>
              <w:t>片剂（含激素类）、胶囊剂、颗粒剂和散剂的设计开发和生产</w:t>
            </w:r>
            <w:r>
              <w:rPr>
                <w:rFonts w:hint="eastAsia" w:eastAsia="宋体" w:cs="Times New Roman" w:asciiTheme="minorEastAsia" w:hAnsiTheme="minorEastAsia"/>
                <w:sz w:val="24"/>
                <w:szCs w:val="24"/>
                <w:lang w:val="en-US" w:eastAsia="zh-CN"/>
              </w:rPr>
              <w:t>相关</w:t>
            </w:r>
            <w:r>
              <w:rPr>
                <w:rFonts w:hint="eastAsia" w:eastAsia="宋体" w:cs="Times New Roman" w:asciiTheme="minorEastAsia" w:hAnsiTheme="minorEastAsia"/>
                <w:sz w:val="24"/>
                <w:szCs w:val="24"/>
              </w:rPr>
              <w:t>的能源管理活动，该活动涵盖了能源购入、转换、输送、使用所涉及的生产系统、辅助生产系统和附属生产系统活动全过程。</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企业营业执照</w:t>
            </w:r>
            <w:r>
              <w:rPr>
                <w:rFonts w:hint="eastAsia" w:eastAsia="宋体" w:cs="Times New Roman" w:asciiTheme="minorEastAsia" w:hAnsiTheme="minorEastAsia"/>
                <w:sz w:val="24"/>
                <w:szCs w:val="24"/>
              </w:rPr>
              <w:t>经营范围的相关描述：</w:t>
            </w:r>
            <w:r>
              <w:rPr>
                <w:rFonts w:hint="eastAsia" w:eastAsia="宋体" w:cs="Times New Roman" w:asciiTheme="minorEastAsia" w:hAnsiTheme="minorEastAsia"/>
                <w:sz w:val="24"/>
                <w:szCs w:val="24"/>
                <w:lang w:val="en-US" w:eastAsia="zh-CN"/>
              </w:rPr>
              <w:t>制造：胶囊剂、片剂（含激素类）、颗粒剂、散剂：（试点改后置，凭许可证经营）（涉及前置审批项目的在有效期内方可经营）。 货物进出口（法律、行政法规禁止的项目除外、法律、行政法规限制经营的项目取得许可证后方可经营）；其他无需报经审批的一切合法项目**</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认证申请范围：</w:t>
            </w:r>
            <w:bookmarkStart w:id="0" w:name="审核范围"/>
            <w:r>
              <w:rPr>
                <w:rFonts w:hint="eastAsia" w:eastAsia="宋体" w:cs="Times New Roman" w:asciiTheme="minorEastAsia" w:hAnsiTheme="minorEastAsia"/>
                <w:sz w:val="24"/>
                <w:szCs w:val="24"/>
                <w:lang w:val="en-US" w:eastAsia="zh-CN"/>
              </w:rPr>
              <w:t>片剂（含激素类）、胶囊剂、颗粒剂和散剂的设计开发和生产相关的能源管理活动</w:t>
            </w:r>
            <w:bookmarkEnd w:id="0"/>
            <w:r>
              <w:rPr>
                <w:rFonts w:hint="eastAsia" w:eastAsia="宋体" w:cs="Times New Roman" w:asciiTheme="minorEastAsia" w:hAnsiTheme="minorEastAsia"/>
                <w:sz w:val="24"/>
                <w:szCs w:val="24"/>
                <w:lang w:val="en-US" w:eastAsia="zh-CN"/>
              </w:rPr>
              <w:t>；</w:t>
            </w:r>
          </w:p>
          <w:p>
            <w:pPr>
              <w:rPr>
                <w:rFonts w:hint="default" w:ascii="宋体" w:hAnsi="宋体" w:eastAsia="宋体"/>
                <w:szCs w:val="21"/>
                <w:lang w:val="en-US" w:eastAsia="zh-CN"/>
              </w:rPr>
            </w:pPr>
            <w:r>
              <w:rPr>
                <w:rFonts w:hint="eastAsia" w:eastAsia="宋体" w:cs="Times New Roman" w:asciiTheme="minorEastAsia" w:hAnsiTheme="minorEastAsia"/>
                <w:sz w:val="24"/>
                <w:szCs w:val="24"/>
                <w:lang w:val="en-US" w:eastAsia="zh-CN"/>
              </w:rPr>
              <w:t>能源管理体系范围与认证范围一致。符合要求。</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能源管理体系</w:t>
            </w:r>
          </w:p>
        </w:tc>
        <w:tc>
          <w:tcPr>
            <w:tcW w:w="960" w:type="dxa"/>
            <w:vAlign w:val="center"/>
          </w:tcPr>
          <w:p>
            <w:pPr>
              <w:rPr>
                <w:rFonts w:hint="eastAsia" w:ascii="宋体" w:hAnsi="宋体"/>
                <w:szCs w:val="21"/>
              </w:rPr>
            </w:pPr>
            <w:r>
              <w:rPr>
                <w:rFonts w:hint="eastAsia" w:ascii="宋体" w:hAnsi="宋体"/>
                <w:szCs w:val="21"/>
              </w:rPr>
              <w:t xml:space="preserve">4.4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该企业</w:t>
            </w:r>
            <w:r>
              <w:rPr>
                <w:rFonts w:hint="eastAsia" w:eastAsia="宋体" w:cs="Times New Roman" w:asciiTheme="minorEastAsia" w:hAnsiTheme="minorEastAsia"/>
                <w:sz w:val="24"/>
                <w:szCs w:val="24"/>
              </w:rPr>
              <w:t>依据</w:t>
            </w:r>
            <w:r>
              <w:rPr>
                <w:rFonts w:hint="eastAsia" w:eastAsia="宋体" w:cs="Times New Roman" w:asciiTheme="minorEastAsia" w:hAnsiTheme="minorEastAsia"/>
                <w:sz w:val="24"/>
                <w:szCs w:val="24"/>
                <w:lang w:eastAsia="zh-CN"/>
              </w:rPr>
              <w:t>GB/T23331</w:t>
            </w:r>
            <w:r>
              <w:rPr>
                <w:rFonts w:hint="eastAsia" w:eastAsia="宋体" w:cs="Times New Roman" w:asciiTheme="minorEastAsia" w:hAnsiTheme="minorEastAsia"/>
                <w:sz w:val="24"/>
                <w:szCs w:val="24"/>
                <w:lang w:val="en-US" w:eastAsia="zh-CN"/>
              </w:rPr>
              <w:t>-2020</w:t>
            </w:r>
            <w:r>
              <w:rPr>
                <w:rFonts w:hint="eastAsia" w:eastAsia="宋体" w:cs="Times New Roman" w:asciiTheme="minorEastAsia" w:hAnsiTheme="minorEastAsia"/>
                <w:sz w:val="24"/>
                <w:szCs w:val="24"/>
                <w:lang w:eastAsia="zh-CN"/>
              </w:rPr>
              <w:t xml:space="preserve"> idt ISO50001</w:t>
            </w:r>
            <w:r>
              <w:rPr>
                <w:rFonts w:hint="eastAsia" w:eastAsia="宋体" w:cs="Times New Roman" w:asciiTheme="minorEastAsia" w:hAnsiTheme="minorEastAsia"/>
                <w:sz w:val="24"/>
                <w:szCs w:val="24"/>
                <w:lang w:val="en-US" w:eastAsia="zh-CN"/>
              </w:rPr>
              <w:t>:2018</w:t>
            </w:r>
            <w:r>
              <w:rPr>
                <w:rFonts w:hint="eastAsia" w:eastAsia="宋体" w:cs="Times New Roman" w:asciiTheme="minorEastAsia" w:hAnsiTheme="minorEastAsia"/>
                <w:sz w:val="24"/>
                <w:szCs w:val="24"/>
              </w:rPr>
              <w:t>《能源管理体系 要求</w:t>
            </w:r>
            <w:r>
              <w:rPr>
                <w:rFonts w:hint="eastAsia" w:eastAsia="宋体" w:cs="Times New Roman" w:asciiTheme="minorEastAsia" w:hAnsiTheme="minorEastAsia"/>
                <w:sz w:val="24"/>
                <w:szCs w:val="24"/>
                <w:lang w:val="en-US" w:eastAsia="zh-CN"/>
              </w:rPr>
              <w:t>及使用指南</w:t>
            </w:r>
            <w:r>
              <w:rPr>
                <w:rFonts w:hint="eastAsia" w:eastAsia="宋体" w:cs="Times New Roman" w:asciiTheme="minorEastAsia" w:hAnsiTheme="minorEastAsia"/>
                <w:sz w:val="24"/>
                <w:szCs w:val="24"/>
              </w:rPr>
              <w:t xml:space="preserve">》标准要求，建立文件化的能源管理体系，并加以实施、保持和持续改进，确保体系有效运行，达到预期能源绩效。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szCs w:val="21"/>
                <w:lang w:val="en-US" w:eastAsia="zh-CN"/>
              </w:rPr>
            </w:pPr>
            <w:r>
              <w:rPr>
                <w:rFonts w:hint="eastAsia" w:eastAsia="宋体" w:cs="Times New Roman" w:asciiTheme="minorEastAsia" w:hAnsiTheme="minorEastAsia"/>
                <w:sz w:val="24"/>
                <w:szCs w:val="24"/>
                <w:lang w:val="en-US" w:eastAsia="zh-CN"/>
              </w:rPr>
              <w:t>目前该企业编制了能源管理手册、能源管理体系文件汇编（17个程序文件）及若干相关制度。形成了文件化信息并能够得到控制。符合要求</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领导作用和承诺</w:t>
            </w:r>
          </w:p>
        </w:tc>
        <w:tc>
          <w:tcPr>
            <w:tcW w:w="960" w:type="dxa"/>
            <w:vAlign w:val="center"/>
          </w:tcPr>
          <w:p>
            <w:pPr>
              <w:rPr>
                <w:rFonts w:hint="eastAsia" w:ascii="宋体" w:hAnsi="宋体"/>
                <w:szCs w:val="21"/>
              </w:rPr>
            </w:pPr>
            <w:r>
              <w:rPr>
                <w:rFonts w:hint="eastAsia" w:ascii="宋体" w:hAnsi="宋体"/>
                <w:szCs w:val="21"/>
              </w:rPr>
              <w:t>5.1</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企业</w:t>
            </w:r>
            <w:r>
              <w:rPr>
                <w:rFonts w:hint="eastAsia" w:eastAsia="宋体" w:cs="Times New Roman" w:asciiTheme="minorEastAsia" w:hAnsiTheme="minorEastAsia"/>
                <w:sz w:val="24"/>
                <w:szCs w:val="24"/>
              </w:rPr>
              <w:t xml:space="preserve">最高管理者承诺支持能源管理体系，并持续改进能源管理体系的有效性，具体通过以下活动予以落实：确保建立能源管理体系的范围和边界；确保建立能源方针、目标和能源指标，并与组织的战略方向一致；确保将能源管理体系要求融入组织的业务过程；确保措施计划得以批准和实施；确保提供能源管理体系所需的资源；就有效的能源管理和符合能源管理体系要求的重要性进行沟通；确保能源管理体系实现其预期结果；促进能源绩效和能源管理体系的持续改进；确保组建能源管理团队；指导并支持员工为能源管理体系的有效性和能源绩效改进做出贡献；支持其他相关管理人员在职责范围内发挥领导作用；确保组织的能源绩效参数恰当地反映其能源绩效；确保建立和实施过程，识别和处理能源管理体系范围和边界内影响能源管理体系和能源绩效的变化。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经与领导层陆振宇管理者代表进行沟通，认为管理层领导基本清楚其职责和承诺，对企业的能源管理体系的运行情况较了解。</w:t>
            </w:r>
          </w:p>
          <w:p>
            <w:pPr>
              <w:pStyle w:val="2"/>
              <w:rPr>
                <w:rFonts w:hint="eastAsia" w:ascii="宋体" w:hAnsi="宋体"/>
                <w:szCs w:val="21"/>
              </w:rPr>
            </w:pPr>
            <w:r>
              <w:rPr>
                <w:rFonts w:hint="eastAsia" w:eastAsia="宋体" w:cs="Times New Roman" w:asciiTheme="minorEastAsia" w:hAnsiTheme="minorEastAsia"/>
                <w:sz w:val="24"/>
                <w:szCs w:val="24"/>
                <w:lang w:val="en-US" w:eastAsia="zh-CN"/>
              </w:rPr>
              <w:t>符合要求</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能源方针</w:t>
            </w:r>
          </w:p>
        </w:tc>
        <w:tc>
          <w:tcPr>
            <w:tcW w:w="960" w:type="dxa"/>
            <w:vAlign w:val="center"/>
          </w:tcPr>
          <w:p>
            <w:pPr>
              <w:rPr>
                <w:rFonts w:hint="eastAsia" w:ascii="宋体" w:hAnsi="宋体"/>
                <w:szCs w:val="21"/>
              </w:rPr>
            </w:pPr>
            <w:r>
              <w:rPr>
                <w:rFonts w:hint="eastAsia" w:ascii="宋体" w:hAnsi="宋体"/>
                <w:szCs w:val="21"/>
              </w:rPr>
              <w:t>5.2</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该企业</w:t>
            </w:r>
            <w:r>
              <w:rPr>
                <w:rFonts w:hint="eastAsia" w:eastAsia="宋体" w:cs="Times New Roman" w:asciiTheme="minorEastAsia" w:hAnsiTheme="minorEastAsia"/>
                <w:sz w:val="24"/>
                <w:szCs w:val="24"/>
              </w:rPr>
              <w:t>本着节能降耗走可持续发展的道路，努力推行规范化能源管理，建立能源管理体系，</w:t>
            </w:r>
            <w:r>
              <w:rPr>
                <w:rFonts w:hint="eastAsia" w:eastAsia="宋体" w:cs="Times New Roman" w:asciiTheme="minorEastAsia" w:hAnsiTheme="minorEastAsia"/>
                <w:sz w:val="24"/>
                <w:szCs w:val="24"/>
                <w:lang w:val="en-US" w:eastAsia="zh-CN"/>
              </w:rPr>
              <w:t>提出</w:t>
            </w:r>
            <w:r>
              <w:rPr>
                <w:rFonts w:hint="eastAsia" w:eastAsia="宋体" w:cs="Times New Roman" w:asciiTheme="minorEastAsia" w:hAnsiTheme="minorEastAsia"/>
                <w:sz w:val="24"/>
                <w:szCs w:val="24"/>
              </w:rPr>
              <w:t xml:space="preserve">公司能源方针：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b/>
                <w:bCs/>
                <w:sz w:val="24"/>
                <w:szCs w:val="24"/>
              </w:rPr>
              <w:t>严格贯彻节能法律法规，履行节能降耗相关要求；提供资源促进节能进步，持续改进能源管理绩效；形成节能降耗长效机制，构建节约环保绿色企业</w:t>
            </w:r>
            <w:r>
              <w:rPr>
                <w:rFonts w:hint="eastAsia" w:eastAsia="宋体" w:cs="Times New Roman"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lang w:eastAsia="zh-CN"/>
              </w:rPr>
            </w:pPr>
            <w:r>
              <w:rPr>
                <w:rFonts w:hint="eastAsia" w:cs="Times New Roman" w:asciiTheme="minorEastAsia" w:hAnsiTheme="minorEastAsia"/>
                <w:sz w:val="24"/>
                <w:szCs w:val="24"/>
                <w:lang w:val="en-US" w:eastAsia="zh-CN"/>
              </w:rPr>
              <w:t>同</w:t>
            </w:r>
            <w:bookmarkStart w:id="1" w:name="_GoBack"/>
            <w:bookmarkEnd w:id="1"/>
            <w:r>
              <w:rPr>
                <w:rFonts w:hint="eastAsia" w:eastAsia="宋体" w:cs="Times New Roman" w:asciiTheme="minorEastAsia" w:hAnsiTheme="minorEastAsia"/>
                <w:sz w:val="24"/>
                <w:szCs w:val="24"/>
                <w:lang w:val="en-US" w:eastAsia="zh-CN"/>
              </w:rPr>
              <w:t>时企业</w:t>
            </w:r>
            <w:r>
              <w:rPr>
                <w:rFonts w:hint="eastAsia" w:eastAsia="宋体" w:cs="Times New Roman" w:asciiTheme="minorEastAsia" w:hAnsiTheme="minorEastAsia"/>
                <w:sz w:val="24"/>
                <w:szCs w:val="24"/>
              </w:rPr>
              <w:t>制定了一系列能源管理目标作为实现能源管理方针的保证和日常能源管理工作的</w:t>
            </w:r>
            <w:r>
              <w:rPr>
                <w:rFonts w:hint="eastAsia" w:eastAsia="宋体" w:cs="Times New Roman" w:asciiTheme="minorEastAsia" w:hAnsiTheme="minorEastAsia"/>
                <w:sz w:val="24"/>
                <w:szCs w:val="24"/>
                <w:lang w:val="en-US" w:eastAsia="zh-CN"/>
              </w:rPr>
              <w:t>要求</w:t>
            </w:r>
            <w:r>
              <w:rPr>
                <w:rFonts w:hint="eastAsia" w:eastAsia="宋体" w:cs="Times New Roman"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rPr>
              <w:t>节能：规范公司的节能行为，用系统的管理手段杜绝一切能源浪费行为，视节约一滴水、一度电为公司每一位员工的神圣职责。</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eastAsia="宋体" w:cs="Times New Roman" w:asciiTheme="minorEastAsia" w:hAnsiTheme="minorEastAsia"/>
                <w:sz w:val="24"/>
                <w:szCs w:val="24"/>
              </w:rPr>
            </w:pPr>
            <w:r>
              <w:rPr>
                <w:rFonts w:hint="eastAsia" w:eastAsia="宋体" w:cs="Times New Roman" w:asciiTheme="minorEastAsia" w:hAnsiTheme="minorEastAsia"/>
                <w:sz w:val="24"/>
                <w:szCs w:val="24"/>
              </w:rPr>
              <w:t>降耗：充分认识到所有原辅材料、物料均为消耗能源制造出来的，有的本来就是能源。我们要从产品研发直至产品交付使用的各个环节采取措施降低物料消耗，将企业办成资源节约型企业。</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szCs w:val="21"/>
              </w:rPr>
            </w:pPr>
            <w:r>
              <w:rPr>
                <w:rFonts w:hint="eastAsia" w:eastAsia="宋体" w:cs="Times New Roman" w:asciiTheme="minorEastAsia" w:hAnsiTheme="minorEastAsia"/>
                <w:sz w:val="24"/>
                <w:szCs w:val="24"/>
              </w:rPr>
              <w:t>创新：创新无限精彩。我们深知只有变革创新才能有公司能源管理的未来。更新观念，变革创新，努力利用一切可以利用的节能措施和技术，走资源节约型可持续发展之路。</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组织的岗位、职责和权限</w:t>
            </w:r>
          </w:p>
        </w:tc>
        <w:tc>
          <w:tcPr>
            <w:tcW w:w="960" w:type="dxa"/>
            <w:vAlign w:val="center"/>
          </w:tcPr>
          <w:p>
            <w:pPr>
              <w:rPr>
                <w:rFonts w:hint="eastAsia" w:ascii="宋体" w:hAnsi="宋体"/>
                <w:szCs w:val="21"/>
              </w:rPr>
            </w:pPr>
            <w:r>
              <w:rPr>
                <w:rFonts w:hint="eastAsia" w:ascii="宋体" w:hAnsi="宋体"/>
                <w:szCs w:val="21"/>
              </w:rPr>
              <w:t>5.3</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lang w:val="en-US" w:eastAsia="zh-CN"/>
              </w:rPr>
              <w:t>该企业设立了能源管理主管部门——设备工程部。</w:t>
            </w:r>
            <w:r>
              <w:rPr>
                <w:rFonts w:hint="eastAsia" w:eastAsia="宋体" w:cs="Times New Roman" w:asciiTheme="minorEastAsia" w:hAnsiTheme="minorEastAsia"/>
                <w:sz w:val="24"/>
                <w:szCs w:val="24"/>
              </w:rPr>
              <w:t>成立</w:t>
            </w:r>
            <w:r>
              <w:rPr>
                <w:rFonts w:hint="eastAsia" w:eastAsia="宋体" w:cs="Times New Roman" w:asciiTheme="minorEastAsia" w:hAnsiTheme="minorEastAsia"/>
                <w:sz w:val="24"/>
                <w:szCs w:val="24"/>
                <w:lang w:val="en-US" w:eastAsia="zh-CN"/>
              </w:rPr>
              <w:t>了</w:t>
            </w:r>
            <w:r>
              <w:rPr>
                <w:rFonts w:hint="eastAsia" w:eastAsia="宋体" w:cs="Times New Roman" w:asciiTheme="minorEastAsia" w:hAnsiTheme="minorEastAsia"/>
                <w:sz w:val="24"/>
                <w:szCs w:val="24"/>
              </w:rPr>
              <w:t>能源管理领导小组，总经理担任组长职责明确，</w:t>
            </w:r>
            <w:r>
              <w:rPr>
                <w:rFonts w:hint="eastAsia" w:eastAsia="宋体" w:cs="Times New Roman" w:asciiTheme="minorEastAsia" w:hAnsiTheme="minorEastAsia"/>
                <w:sz w:val="24"/>
                <w:szCs w:val="24"/>
                <w:lang w:val="en-US" w:eastAsia="zh-CN"/>
              </w:rPr>
              <w:t>副总经理、</w:t>
            </w:r>
            <w:r>
              <w:rPr>
                <w:rFonts w:hint="eastAsia" w:eastAsia="宋体" w:cs="Times New Roman" w:asciiTheme="minorEastAsia" w:hAnsiTheme="minorEastAsia"/>
                <w:sz w:val="24"/>
                <w:szCs w:val="24"/>
              </w:rPr>
              <w:t xml:space="preserve">各部门负责人为领导小组成员，能源职责划分基本明确且合理。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公司设有</w:t>
            </w:r>
            <w:r>
              <w:rPr>
                <w:rFonts w:hint="eastAsia" w:eastAsia="宋体" w:cs="Times New Roman" w:asciiTheme="minorEastAsia" w:hAnsiTheme="minorEastAsia"/>
                <w:sz w:val="24"/>
                <w:szCs w:val="24"/>
                <w:lang w:val="en-US" w:eastAsia="zh-CN"/>
              </w:rPr>
              <w:t>设备工程部</w:t>
            </w:r>
            <w:r>
              <w:rPr>
                <w:rFonts w:hint="eastAsia" w:eastAsia="宋体" w:cs="Times New Roman" w:asciiTheme="minorEastAsia" w:hAnsiTheme="minorEastAsia"/>
                <w:sz w:val="24"/>
                <w:szCs w:val="24"/>
              </w:rPr>
              <w:t>、财务部、生产部（包括生产车间）、技术部、</w:t>
            </w:r>
            <w:r>
              <w:rPr>
                <w:rFonts w:hint="eastAsia" w:eastAsia="宋体" w:cs="Times New Roman" w:asciiTheme="minorEastAsia" w:hAnsiTheme="minorEastAsia"/>
                <w:sz w:val="24"/>
                <w:szCs w:val="24"/>
                <w:lang w:val="en-US" w:eastAsia="zh-CN"/>
              </w:rPr>
              <w:t>人事行政部、质量控制部、质量保证部、物控部</w:t>
            </w:r>
            <w:r>
              <w:rPr>
                <w:rFonts w:hint="eastAsia" w:eastAsia="宋体" w:cs="Times New Roman" w:asciiTheme="minorEastAsia" w:hAnsiTheme="minorEastAsia"/>
                <w:sz w:val="24"/>
                <w:szCs w:val="24"/>
              </w:rPr>
              <w:t>等，从管理层到各部门、各岗位能源职责权限均以文件化予以规定，编审批齐全。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相关岗位的职责和权限在企业内以各种形式得到分配和沟通。如：建立、实施、保持和持续改进能源管理体系，进行职责的分配；建立各种管理制度和要求保证能源管理体系的有效运行和控制等。</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抽查：部门职责、信息沟通控制程序等能够有效控制。</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应对风险和机遇的措施</w:t>
            </w:r>
          </w:p>
        </w:tc>
        <w:tc>
          <w:tcPr>
            <w:tcW w:w="960" w:type="dxa"/>
            <w:vAlign w:val="center"/>
          </w:tcPr>
          <w:p>
            <w:pPr>
              <w:rPr>
                <w:rFonts w:hint="eastAsia" w:ascii="宋体" w:hAnsi="宋体"/>
                <w:szCs w:val="21"/>
              </w:rPr>
            </w:pPr>
            <w:r>
              <w:rPr>
                <w:rFonts w:hint="eastAsia" w:ascii="宋体" w:hAnsi="宋体"/>
                <w:szCs w:val="21"/>
              </w:rPr>
              <w:t>6.1</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该企业编制了《风险和机遇管理程序》，人事行政部负责组织风险的识别、风险分析、风险评价、风险应对全过程的管理；企业各部门负责对本部门所涉及的风险进行风险识别、分析、评价和应对，并将风险管理结果向管理部反馈；总经理审批《风险评估与应对措施表》《机遇评估与应对措施表》《相关方需求与期望应对表》。</w:t>
            </w:r>
          </w:p>
          <w:p>
            <w:pPr>
              <w:tabs>
                <w:tab w:val="left" w:pos="426"/>
                <w:tab w:val="left" w:pos="5400"/>
              </w:tabs>
              <w:spacing w:line="360" w:lineRule="auto"/>
              <w:ind w:left="320" w:leftChars="152" w:hanging="1"/>
              <w:rPr>
                <w:rFonts w:hint="eastAsia" w:ascii="宋体" w:hAnsi="宋体" w:eastAsia="宋体" w:cs="宋体"/>
                <w:sz w:val="24"/>
                <w:szCs w:val="24"/>
              </w:rPr>
            </w:pPr>
            <w:r>
              <w:rPr>
                <w:rFonts w:hint="eastAsia" w:ascii="宋体" w:hAnsi="宋体" w:eastAsia="宋体" w:cs="宋体"/>
                <w:sz w:val="24"/>
                <w:szCs w:val="24"/>
              </w:rPr>
              <w:t>风险评价表</w:t>
            </w:r>
          </w:p>
          <w:tbl>
            <w:tblPr>
              <w:tblStyle w:val="9"/>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2362"/>
              <w:gridCol w:w="2362"/>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695" w:type="dxa"/>
                  <w:tcBorders>
                    <w:tl2br w:val="single" w:color="auto" w:sz="4" w:space="0"/>
                  </w:tcBorders>
                  <w:noWrap w:val="0"/>
                  <w:vAlign w:val="top"/>
                </w:tcPr>
                <w:p>
                  <w:pPr>
                    <w:tabs>
                      <w:tab w:val="left" w:pos="5400"/>
                    </w:tabs>
                    <w:spacing w:line="360" w:lineRule="auto"/>
                    <w:jc w:val="right"/>
                    <w:rPr>
                      <w:rFonts w:hint="eastAsia" w:ascii="宋体" w:hAnsi="宋体" w:eastAsia="宋体" w:cs="宋体"/>
                      <w:sz w:val="24"/>
                      <w:szCs w:val="24"/>
                    </w:rPr>
                  </w:pPr>
                  <w:r>
                    <w:rPr>
                      <w:rFonts w:hint="eastAsia" w:ascii="宋体" w:hAnsi="宋体" w:eastAsia="宋体" w:cs="宋体"/>
                      <w:sz w:val="24"/>
                      <w:szCs w:val="24"/>
                    </w:rPr>
                    <w:t>风险发生可能性</w:t>
                  </w:r>
                </w:p>
                <w:p>
                  <w:pPr>
                    <w:tabs>
                      <w:tab w:val="left" w:pos="5400"/>
                    </w:tabs>
                    <w:spacing w:line="360" w:lineRule="auto"/>
                    <w:jc w:val="left"/>
                    <w:rPr>
                      <w:rFonts w:hint="eastAsia" w:ascii="宋体" w:hAnsi="宋体" w:eastAsia="宋体" w:cs="宋体"/>
                      <w:sz w:val="24"/>
                      <w:szCs w:val="24"/>
                    </w:rPr>
                  </w:pPr>
                  <w:r>
                    <w:rPr>
                      <w:rFonts w:hint="eastAsia" w:ascii="宋体" w:hAnsi="宋体" w:eastAsia="宋体" w:cs="宋体"/>
                      <w:sz w:val="24"/>
                      <w:szCs w:val="24"/>
                    </w:rPr>
                    <w:t>风险后果</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可能性大</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可能发生</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极少发生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严重</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高</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（高关注风险）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高</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（高关注风险）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一般</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（一般关注风险）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一般</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一般</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（一般关注风险）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一般</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（一般关注风险）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低</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（低关注风险）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轻微</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低</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（低关注风险）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低</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（低关注风险）</w:t>
                  </w:r>
                </w:p>
              </w:tc>
              <w:tc>
                <w:tcPr>
                  <w:tcW w:w="2362" w:type="dxa"/>
                  <w:noWrap w:val="0"/>
                  <w:vAlign w:val="center"/>
                </w:tcPr>
                <w:p>
                  <w:pPr>
                    <w:tabs>
                      <w:tab w:val="left" w:pos="5400"/>
                    </w:tabs>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低</w:t>
                  </w:r>
                  <w:r>
                    <w:rPr>
                      <w:rFonts w:hint="eastAsia" w:ascii="宋体" w:hAnsi="宋体" w:eastAsia="宋体" w:cs="宋体"/>
                      <w:sz w:val="24"/>
                      <w:szCs w:val="24"/>
                    </w:rPr>
                    <w:t>风险</w:t>
                  </w:r>
                </w:p>
                <w:p>
                  <w:pPr>
                    <w:tabs>
                      <w:tab w:val="left" w:pos="5400"/>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（低关注风险）</w:t>
                  </w:r>
                </w:p>
              </w:tc>
            </w:tr>
          </w:tbl>
          <w:p>
            <w:pPr>
              <w:rPr>
                <w:rFonts w:hint="eastAsia"/>
                <w:highlight w:val="yellow"/>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宋体" w:hAnsi="宋体"/>
                <w:szCs w:val="21"/>
              </w:rPr>
            </w:pPr>
            <w:r>
              <w:rPr>
                <w:rFonts w:hint="eastAsia" w:eastAsia="宋体" w:cs="Times New Roman" w:asciiTheme="minorEastAsia" w:hAnsiTheme="minorEastAsia"/>
                <w:sz w:val="24"/>
                <w:szCs w:val="24"/>
                <w:lang w:val="en-US" w:eastAsia="zh-CN"/>
              </w:rPr>
              <w:t>提供杭州康恩贝制药有限公司能源管理风险和机遇评价分析清单，2021年1月5日，编制人：陈振宇，从风险类型、风险事件、风险发生频率、影响程度、风险系数、风险等级评价、应对措施、预防措施等方面进行识别评价，考虑人力资源风险、设备风险、自然灾害风险、采购风险、资源风险、紧急或异常风险、法律法规风险、天气、气候变化等、能源成本、能源种类变化、能源安全、能源供应、可靠性等10个方面，识别出16个风险，并进行分类，10个一般风险，6个低风险，无高风险</w:t>
            </w:r>
            <w:r>
              <w:rPr>
                <w:rFonts w:hint="eastAsia" w:cs="Times New Roman" w:asciiTheme="minorEastAsia" w:hAnsiTheme="minorEastAsia"/>
                <w:sz w:val="24"/>
                <w:szCs w:val="24"/>
                <w:lang w:val="en-US" w:eastAsia="zh-CN"/>
              </w:rPr>
              <w:t>。</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资源</w:t>
            </w:r>
          </w:p>
        </w:tc>
        <w:tc>
          <w:tcPr>
            <w:tcW w:w="960" w:type="dxa"/>
            <w:vAlign w:val="center"/>
          </w:tcPr>
          <w:p>
            <w:pPr>
              <w:rPr>
                <w:rFonts w:hint="eastAsia" w:ascii="宋体" w:hAnsi="宋体"/>
                <w:szCs w:val="21"/>
              </w:rPr>
            </w:pPr>
            <w:r>
              <w:rPr>
                <w:rFonts w:hint="eastAsia" w:ascii="宋体" w:hAnsi="宋体"/>
                <w:szCs w:val="21"/>
              </w:rPr>
              <w:t xml:space="preserve">7.1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最高管理层承诺提供必需的资源，用于体系建立、实施、维护和持续改进。资源包括人力、物力和财务资源。</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人力资源：包括各管理人员、操作人员、检验人员、不存在临时人员；人力资源的要求见人事行政部审核记录；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物力包括：生产过程中的基础设施、土地、运行设备（燃油炉、空调系统、螺杆式冷水机组等） 以及配套的空压机、过滤器、电机、机泵等；见设备工程部审核记录；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宋体" w:hAnsi="宋体"/>
                <w:szCs w:val="21"/>
              </w:rPr>
            </w:pPr>
            <w:r>
              <w:rPr>
                <w:rFonts w:hint="eastAsia" w:eastAsia="宋体" w:cs="Times New Roman" w:asciiTheme="minorEastAsia" w:hAnsiTheme="minorEastAsia"/>
                <w:sz w:val="24"/>
                <w:szCs w:val="24"/>
                <w:lang w:val="en-US" w:eastAsia="zh-CN"/>
              </w:rPr>
              <w:t>财力包括：能源（水、电、燃料油）采购提供的资金、节能技术改造提供的技术资金支持，购买用能设备，能源计量器具等资金支持见财务部审核记录。</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管理评审</w:t>
            </w:r>
          </w:p>
        </w:tc>
        <w:tc>
          <w:tcPr>
            <w:tcW w:w="960" w:type="dxa"/>
            <w:vAlign w:val="center"/>
          </w:tcPr>
          <w:p>
            <w:pPr>
              <w:rPr>
                <w:rFonts w:hint="eastAsia" w:ascii="宋体" w:hAnsi="宋体"/>
                <w:szCs w:val="21"/>
              </w:rPr>
            </w:pPr>
            <w:r>
              <w:rPr>
                <w:rFonts w:hint="eastAsia" w:ascii="宋体" w:hAnsi="宋体"/>
                <w:szCs w:val="21"/>
              </w:rPr>
              <w:t xml:space="preserve">9.3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公司自能源管理体系运行以来20201年4月2</w:t>
            </w:r>
            <w:r>
              <w:rPr>
                <w:rFonts w:hint="eastAsia" w:ascii="宋体" w:hAnsi="宋体" w:cs="宋体"/>
                <w:sz w:val="24"/>
                <w:szCs w:val="24"/>
                <w:lang w:val="en-US" w:eastAsia="zh-CN"/>
              </w:rPr>
              <w:t>4日</w:t>
            </w:r>
            <w:r>
              <w:rPr>
                <w:rFonts w:hint="eastAsia" w:eastAsia="宋体" w:cs="Times New Roman" w:asciiTheme="minorEastAsia" w:hAnsiTheme="minorEastAsia"/>
                <w:sz w:val="24"/>
                <w:szCs w:val="24"/>
                <w:lang w:val="en-US" w:eastAsia="zh-CN"/>
              </w:rPr>
              <w:t>组织了一次管理评审，评审采用会议形式，总经理徐秀卉主持会议。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   提供《能源管理评审计划》 有编审批；              </w:t>
            </w:r>
          </w:p>
          <w:p>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提供的“管理评审会议签到表”，有总经理、管理者代表、各部门负责人共</w:t>
            </w:r>
            <w:r>
              <w:rPr>
                <w:rFonts w:hint="eastAsia" w:eastAsia="宋体" w:cs="Times New Roman" w:asciiTheme="minorEastAsia" w:hAnsiTheme="minorEastAsia"/>
                <w:sz w:val="24"/>
                <w:szCs w:val="24"/>
                <w:highlight w:val="none"/>
                <w:lang w:val="en-US" w:eastAsia="zh-CN"/>
              </w:rPr>
              <w:t>10</w:t>
            </w:r>
            <w:r>
              <w:rPr>
                <w:rFonts w:hint="eastAsia" w:eastAsia="宋体" w:cs="Times New Roman" w:asciiTheme="minorEastAsia" w:hAnsiTheme="minorEastAsia"/>
                <w:sz w:val="24"/>
                <w:szCs w:val="24"/>
                <w:lang w:val="en-US" w:eastAsia="zh-CN"/>
              </w:rPr>
              <w:t>人参加并签到；提供“管理评审会议记录”，查评审输入内容包括：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1)与能源管理体系相关的内、外部因素以及相关的风险和机遇的变化；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2)下列有关能源管理体系绩效方面的信息，包括其趋势：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1) 不符合和纠正措施；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2) 监视和测量结果；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3) 审核结果；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4) 法律法规和其他要求的符合性评价结果。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3)持续改进的机会，包括人员能力；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eastAsia="宋体" w:cs="Times New Roman" w:asciiTheme="minorEastAsia" w:hAnsiTheme="minorEastAsia"/>
                <w:sz w:val="24"/>
                <w:szCs w:val="24"/>
                <w:lang w:val="en-US" w:eastAsia="zh-CN"/>
              </w:rPr>
              <w:t xml:space="preserve">4)能源方针。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 xml:space="preserve">提供管理评审输出，形成《管理评审报告》编审批齐全 。内容包括：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管理评审结论：公司能源绩效的变化：与上一年度基本一致</w:t>
            </w:r>
            <w:r>
              <w:rPr>
                <w:rFonts w:hint="eastAsia" w:cs="Times New Roman" w:asciiTheme="minorEastAsia" w:hAnsiTheme="minorEastAsia"/>
                <w:sz w:val="24"/>
                <w:szCs w:val="24"/>
                <w:lang w:val="en-US" w:eastAsia="zh-CN"/>
              </w:rPr>
              <w:t>；</w:t>
            </w:r>
            <w:r>
              <w:rPr>
                <w:rFonts w:hint="eastAsia" w:eastAsia="宋体" w:cs="Times New Roman" w:asciiTheme="minorEastAsia" w:hAnsiTheme="minorEastAsia"/>
                <w:sz w:val="24"/>
                <w:szCs w:val="24"/>
                <w:lang w:val="en-US" w:eastAsia="zh-CN"/>
              </w:rPr>
              <w:t>能源方针的变化：保持不变</w:t>
            </w:r>
            <w:r>
              <w:rPr>
                <w:rFonts w:hint="eastAsia" w:cs="Times New Roman" w:asciiTheme="minorEastAsia" w:hAnsiTheme="minorEastAsia"/>
                <w:sz w:val="24"/>
                <w:szCs w:val="24"/>
                <w:lang w:val="en-US" w:eastAsia="zh-CN"/>
              </w:rPr>
              <w:t>；</w:t>
            </w:r>
            <w:r>
              <w:rPr>
                <w:rFonts w:hint="eastAsia" w:eastAsia="宋体" w:cs="Times New Roman" w:asciiTheme="minorEastAsia" w:hAnsiTheme="minorEastAsia"/>
                <w:sz w:val="24"/>
                <w:szCs w:val="24"/>
                <w:lang w:val="en-US" w:eastAsia="zh-CN"/>
              </w:rPr>
              <w:t>能源绩效参数的变化：保持不变</w:t>
            </w:r>
            <w:r>
              <w:rPr>
                <w:rFonts w:hint="eastAsia" w:cs="Times New Roman" w:asciiTheme="minorEastAsia" w:hAnsiTheme="minorEastAsia"/>
                <w:sz w:val="24"/>
                <w:szCs w:val="24"/>
                <w:lang w:val="en-US" w:eastAsia="zh-CN"/>
              </w:rPr>
              <w:t>；</w:t>
            </w:r>
            <w:r>
              <w:rPr>
                <w:rFonts w:hint="eastAsia" w:eastAsia="宋体" w:cs="Times New Roman" w:asciiTheme="minorEastAsia" w:hAnsiTheme="minorEastAsia"/>
                <w:sz w:val="24"/>
                <w:szCs w:val="24"/>
                <w:lang w:val="en-US" w:eastAsia="zh-CN"/>
              </w:rPr>
              <w:t>就持续改进的承诺，公司对能源管理体系的目标、指标和其他要素的调整：保持不变</w:t>
            </w:r>
            <w:r>
              <w:rPr>
                <w:rFonts w:hint="eastAsia" w:cs="Times New Roman" w:asciiTheme="minorEastAsia" w:hAnsiTheme="minorEastAsia"/>
                <w:sz w:val="24"/>
                <w:szCs w:val="24"/>
                <w:lang w:val="en-US" w:eastAsia="zh-CN"/>
              </w:rPr>
              <w:t>；</w:t>
            </w:r>
            <w:r>
              <w:rPr>
                <w:rFonts w:hint="eastAsia" w:eastAsia="宋体" w:cs="Times New Roman" w:asciiTheme="minorEastAsia" w:hAnsiTheme="minorEastAsia"/>
                <w:sz w:val="24"/>
                <w:szCs w:val="24"/>
                <w:lang w:val="en-US" w:eastAsia="zh-CN"/>
              </w:rPr>
              <w:t>资源分配的变化：保持不变。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eastAsiaTheme="minorEastAsia"/>
                <w:color w:val="000000"/>
                <w:sz w:val="24"/>
                <w:szCs w:val="24"/>
              </w:rPr>
            </w:pPr>
            <w:r>
              <w:rPr>
                <w:rFonts w:hint="eastAsia" w:eastAsia="宋体" w:cs="Times New Roman" w:asciiTheme="minorEastAsia" w:hAnsiTheme="minorEastAsia"/>
                <w:sz w:val="24"/>
                <w:szCs w:val="24"/>
                <w:lang w:val="en-US" w:eastAsia="zh-CN"/>
              </w:rPr>
              <w:t>经评审，公司能源管理体系是适宜的、充分的和有效的。</w:t>
            </w:r>
          </w:p>
          <w:p>
            <w:pPr>
              <w:rPr>
                <w:rFonts w:hint="eastAsia" w:ascii="宋体" w:hAnsi="宋体"/>
                <w:szCs w:val="21"/>
              </w:rPr>
            </w:pPr>
            <w:r>
              <w:rPr>
                <w:rFonts w:hint="eastAsia" w:asciiTheme="minorEastAsia" w:hAnsiTheme="minorEastAsia" w:eastAsiaTheme="minorEastAsia"/>
                <w:color w:val="000000"/>
                <w:sz w:val="24"/>
                <w:szCs w:val="24"/>
              </w:rPr>
              <w:t>管理评审过程基本符合标准要求。</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cs="Times New Roman" w:asciiTheme="minorEastAsia" w:hAnsiTheme="minorEastAsia"/>
                <w:sz w:val="24"/>
                <w:szCs w:val="24"/>
              </w:rPr>
            </w:pPr>
            <w:r>
              <w:rPr>
                <w:rFonts w:hint="eastAsia" w:eastAsia="宋体" w:cs="Times New Roman" w:asciiTheme="minorEastAsia" w:hAnsiTheme="minorEastAsia"/>
                <w:sz w:val="24"/>
                <w:szCs w:val="24"/>
              </w:rPr>
              <w:t>持续改进</w:t>
            </w:r>
          </w:p>
        </w:tc>
        <w:tc>
          <w:tcPr>
            <w:tcW w:w="960" w:type="dxa"/>
            <w:vAlign w:val="center"/>
          </w:tcPr>
          <w:p>
            <w:pPr>
              <w:rPr>
                <w:rFonts w:hint="eastAsia" w:ascii="宋体" w:hAnsi="宋体"/>
                <w:szCs w:val="21"/>
              </w:rPr>
            </w:pPr>
            <w:r>
              <w:rPr>
                <w:rFonts w:hint="eastAsia" w:ascii="宋体" w:hAnsi="宋体"/>
                <w:szCs w:val="21"/>
              </w:rPr>
              <w:t xml:space="preserve">10.2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szCs w:val="21"/>
                <w:lang w:val="en-US" w:eastAsia="zh-CN"/>
              </w:rPr>
            </w:pPr>
            <w:r>
              <w:rPr>
                <w:rFonts w:hint="eastAsia" w:eastAsia="宋体" w:cs="Times New Roman" w:asciiTheme="minorEastAsia" w:hAnsiTheme="minorEastAsia"/>
                <w:sz w:val="24"/>
                <w:szCs w:val="24"/>
                <w:lang w:val="en-US" w:eastAsia="zh-CN"/>
              </w:rPr>
              <w:t>企业的持续改进通过日常的检查、绩效考核、内部审核和管理评审的问题整改并实现举一反三，持续改进。通过各部门的专业检查、考核以及体系内审问题整改等体现，见人事行政部的审核记录。</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default"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企业现场巡视</w:t>
            </w:r>
          </w:p>
        </w:tc>
        <w:tc>
          <w:tcPr>
            <w:tcW w:w="960" w:type="dxa"/>
            <w:vAlign w:val="center"/>
          </w:tcPr>
          <w:p>
            <w:pPr>
              <w:rPr>
                <w:rFonts w:hint="eastAsia" w:ascii="宋体" w:hAnsi="宋体"/>
                <w:szCs w:val="21"/>
              </w:rPr>
            </w:pP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现场管理较好，设备完好，保温完好</w:t>
            </w:r>
          </w:p>
          <w:p>
            <w:pPr>
              <w:pStyle w:val="2"/>
              <w:rPr>
                <w:rFonts w:hint="eastAsia" w:eastAsia="宋体" w:cs="Times New Roman" w:asciiTheme="minorEastAsia" w:hAnsiTheme="minorEastAsia"/>
                <w:sz w:val="24"/>
                <w:szCs w:val="24"/>
                <w:lang w:val="en-US" w:eastAsia="zh-CN"/>
              </w:rPr>
            </w:pPr>
            <w:r>
              <w:rPr>
                <w:rFonts w:hint="eastAsia" w:eastAsia="宋体" w:cs="Times New Roman" w:asciiTheme="minorEastAsia" w:hAnsiTheme="minorEastAsia"/>
                <w:sz w:val="24"/>
                <w:szCs w:val="24"/>
                <w:lang w:val="en-US" w:eastAsia="zh-CN"/>
              </w:rPr>
              <w:t>存在的问题</w:t>
            </w:r>
            <w:r>
              <w:rPr>
                <w:rFonts w:hint="eastAsia" w:cs="Times New Roman" w:asciiTheme="minorEastAsia" w:hAnsiTheme="minorEastAsia"/>
                <w:sz w:val="24"/>
                <w:szCs w:val="24"/>
                <w:lang w:val="en-US" w:eastAsia="zh-CN"/>
              </w:rPr>
              <w:t>及建议</w:t>
            </w:r>
            <w:r>
              <w:rPr>
                <w:rFonts w:hint="eastAsia" w:eastAsia="宋体" w:cs="Times New Roman" w:asciiTheme="minorEastAsia" w:hAnsiTheme="minorEastAsia"/>
                <w:sz w:val="24"/>
                <w:szCs w:val="24"/>
                <w:lang w:val="en-US" w:eastAsia="zh-CN"/>
              </w:rPr>
              <w:t>：</w:t>
            </w:r>
          </w:p>
          <w:p>
            <w:pPr>
              <w:pStyle w:val="2"/>
              <w:numPr>
                <w:ilvl w:val="0"/>
                <w:numId w:val="1"/>
              </w:numPr>
              <w:ind w:firstLine="480" w:firstLineChars="200"/>
              <w:rPr>
                <w:rFonts w:hint="eastAsia" w:eastAsia="宋体" w:cs="Times New Roman" w:asciiTheme="minorEastAsia" w:hAnsiTheme="minorEastAsia"/>
                <w:color w:val="0000FF"/>
                <w:sz w:val="24"/>
                <w:szCs w:val="24"/>
                <w:lang w:val="en-US" w:eastAsia="zh-CN"/>
              </w:rPr>
            </w:pPr>
            <w:r>
              <w:rPr>
                <w:rFonts w:hint="eastAsia" w:eastAsia="宋体" w:cs="Times New Roman" w:asciiTheme="minorEastAsia" w:hAnsiTheme="minorEastAsia"/>
                <w:color w:val="0000FF"/>
                <w:sz w:val="24"/>
                <w:szCs w:val="24"/>
                <w:lang w:val="en-US" w:eastAsia="zh-CN"/>
              </w:rPr>
              <w:t>燃油炉的流量计未鉴定或校准；</w:t>
            </w:r>
          </w:p>
          <w:p>
            <w:pPr>
              <w:pStyle w:val="2"/>
              <w:numPr>
                <w:ilvl w:val="0"/>
                <w:numId w:val="1"/>
              </w:numPr>
              <w:ind w:firstLine="480" w:firstLineChars="200"/>
              <w:rPr>
                <w:rFonts w:hint="default" w:eastAsia="宋体" w:cs="Times New Roman" w:asciiTheme="minorEastAsia" w:hAnsiTheme="minorEastAsia"/>
                <w:color w:val="0000FF"/>
                <w:sz w:val="24"/>
                <w:szCs w:val="24"/>
                <w:lang w:val="en-US" w:eastAsia="zh-CN"/>
              </w:rPr>
            </w:pPr>
            <w:r>
              <w:rPr>
                <w:rFonts w:hint="eastAsia" w:eastAsia="宋体" w:cs="Times New Roman" w:asciiTheme="minorEastAsia" w:hAnsiTheme="minorEastAsia"/>
                <w:color w:val="0000FF"/>
                <w:sz w:val="24"/>
                <w:szCs w:val="24"/>
                <w:lang w:val="en-US" w:eastAsia="zh-CN"/>
              </w:rPr>
              <w:t>燃油炉蒸汽分配管去二车间和五车间的阀门应关闭，现场处于“开”；</w:t>
            </w:r>
          </w:p>
          <w:p>
            <w:pPr>
              <w:pStyle w:val="2"/>
              <w:numPr>
                <w:ilvl w:val="0"/>
                <w:numId w:val="1"/>
              </w:numPr>
              <w:ind w:firstLine="480" w:firstLineChars="200"/>
              <w:rPr>
                <w:rFonts w:hint="default" w:eastAsia="宋体" w:cs="Times New Roman" w:asciiTheme="minorEastAsia" w:hAnsiTheme="minorEastAsia"/>
                <w:color w:val="0000FF"/>
                <w:sz w:val="24"/>
                <w:szCs w:val="24"/>
                <w:lang w:val="en-US" w:eastAsia="zh-CN"/>
              </w:rPr>
            </w:pPr>
            <w:r>
              <w:rPr>
                <w:rFonts w:hint="eastAsia" w:eastAsia="宋体" w:cs="Times New Roman" w:asciiTheme="minorEastAsia" w:hAnsiTheme="minorEastAsia"/>
                <w:color w:val="0000FF"/>
                <w:sz w:val="24"/>
                <w:szCs w:val="24"/>
                <w:lang w:val="en-US" w:eastAsia="zh-CN"/>
              </w:rPr>
              <w:t>建议企业开展燃油炉和3套空调系统的能效测试工作。</w:t>
            </w:r>
          </w:p>
          <w:p>
            <w:pPr>
              <w:pStyle w:val="2"/>
              <w:numPr>
                <w:ilvl w:val="0"/>
                <w:numId w:val="0"/>
              </w:numPr>
              <w:ind w:firstLine="480" w:firstLineChars="200"/>
              <w:rPr>
                <w:rFonts w:hint="default" w:eastAsia="宋体" w:cs="Times New Roman" w:asciiTheme="minorEastAsia" w:hAnsiTheme="minorEastAsia"/>
                <w:sz w:val="24"/>
                <w:szCs w:val="24"/>
                <w:lang w:val="en-US" w:eastAsia="zh-CN"/>
              </w:rPr>
            </w:pPr>
            <w:r>
              <w:rPr>
                <w:rFonts w:hint="eastAsia" w:cs="Times New Roman" w:asciiTheme="minorEastAsia" w:hAnsiTheme="minorEastAsia"/>
                <w:kern w:val="2"/>
                <w:sz w:val="24"/>
                <w:szCs w:val="24"/>
                <w:lang w:val="en-US" w:eastAsia="zh-CN" w:bidi="ar-SA"/>
              </w:rPr>
              <w:t>4、</w:t>
            </w:r>
            <w:r>
              <w:rPr>
                <w:rFonts w:hint="eastAsia" w:eastAsia="宋体" w:cs="Times New Roman" w:asciiTheme="minorEastAsia" w:hAnsiTheme="minorEastAsia"/>
                <w:kern w:val="2"/>
                <w:sz w:val="24"/>
                <w:szCs w:val="24"/>
                <w:lang w:val="en-US" w:eastAsia="zh-CN" w:bidi="ar-SA"/>
              </w:rPr>
              <w:t>节能目标的制定和管理建议分解到有关职能部门。</w:t>
            </w:r>
          </w:p>
        </w:tc>
        <w:tc>
          <w:tcPr>
            <w:tcW w:w="1417" w:type="dxa"/>
          </w:tcPr>
          <w:p>
            <w:pPr>
              <w:rPr>
                <w:rFonts w:hint="eastAsia"/>
                <w:lang w:val="en-US" w:eastAsia="zh-CN"/>
              </w:rPr>
            </w:pPr>
          </w:p>
        </w:tc>
      </w:tr>
    </w:tbl>
    <w:p>
      <w:pPr>
        <w:rPr>
          <w:rFonts w:hint="eastAsia"/>
        </w:rPr>
      </w:pPr>
      <w:r>
        <w:rPr>
          <w:rFonts w:hint="eastAsia"/>
        </w:rPr>
        <w:t>说明：不符合标注N</w:t>
      </w:r>
    </w:p>
    <w:p>
      <w:pPr>
        <w:pStyle w:val="2"/>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抽样计划</w:t>
            </w:r>
          </w:p>
        </w:tc>
        <w:tc>
          <w:tcPr>
            <w:tcW w:w="9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涉及</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条款</w:t>
            </w: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受审核部门：  </w:t>
            </w:r>
            <w:r>
              <w:rPr>
                <w:rFonts w:hint="eastAsia" w:ascii="Times New Roman" w:hAnsi="Times New Roman" w:eastAsia="宋体" w:cs="Times New Roman"/>
                <w:sz w:val="24"/>
                <w:szCs w:val="24"/>
                <w:lang w:val="en-US" w:eastAsia="zh-CN"/>
              </w:rPr>
              <w:t>人事行政部</w:t>
            </w:r>
            <w:r>
              <w:rPr>
                <w:rFonts w:hint="eastAsia" w:ascii="Times New Roman" w:hAnsi="Times New Roman" w:eastAsia="宋体" w:cs="Times New Roman"/>
                <w:sz w:val="24"/>
                <w:szCs w:val="24"/>
              </w:rPr>
              <w:t xml:space="preserve">                主管领导 </w:t>
            </w:r>
            <w:r>
              <w:rPr>
                <w:rFonts w:hint="eastAsia" w:ascii="Times New Roman" w:hAnsi="Times New Roman" w:eastAsia="宋体" w:cs="Times New Roman"/>
                <w:sz w:val="24"/>
                <w:szCs w:val="24"/>
                <w:lang w:eastAsia="zh-CN"/>
              </w:rPr>
              <w:t xml:space="preserve">：陈晋昭  </w:t>
            </w:r>
            <w:r>
              <w:rPr>
                <w:rFonts w:hint="eastAsia" w:ascii="Times New Roman" w:hAnsi="Times New Roman" w:eastAsia="宋体" w:cs="Times New Roman"/>
                <w:sz w:val="24"/>
                <w:szCs w:val="24"/>
              </w:rPr>
              <w:t xml:space="preserve">            陪同人员 </w:t>
            </w:r>
            <w:r>
              <w:rPr>
                <w:rFonts w:hint="eastAsia" w:ascii="Times New Roman" w:hAnsi="Times New Roman" w:eastAsia="宋体" w:cs="Times New Roman"/>
                <w:sz w:val="24"/>
                <w:szCs w:val="24"/>
                <w:lang w:val="en-US" w:eastAsia="zh-CN"/>
              </w:rPr>
              <w:t>：葛东海</w:t>
            </w:r>
          </w:p>
        </w:tc>
        <w:tc>
          <w:tcPr>
            <w:tcW w:w="1417" w:type="dxa"/>
            <w:vMerge w:val="restart"/>
            <w:vAlign w:val="center"/>
          </w:tcPr>
          <w:p>
            <w:pPr>
              <w:rPr>
                <w:szCs w:val="21"/>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审核员：   </w:t>
            </w:r>
            <w:r>
              <w:rPr>
                <w:rFonts w:hint="eastAsia" w:ascii="Times New Roman" w:hAnsi="Times New Roman" w:eastAsia="宋体" w:cs="Times New Roman"/>
                <w:sz w:val="24"/>
                <w:szCs w:val="24"/>
                <w:lang w:val="en-US" w:eastAsia="zh-CN"/>
              </w:rPr>
              <w:t>李丽英</w:t>
            </w:r>
            <w:r>
              <w:rPr>
                <w:rFonts w:hint="eastAsia" w:ascii="Times New Roman" w:hAnsi="Times New Roman" w:eastAsia="宋体" w:cs="Times New Roman"/>
                <w:sz w:val="24"/>
                <w:szCs w:val="24"/>
              </w:rPr>
              <w:t xml:space="preserve">                    审核时间： 2021.07.</w:t>
            </w:r>
            <w:r>
              <w:rPr>
                <w:rFonts w:hint="eastAsia" w:ascii="Times New Roman" w:hAnsi="Times New Roman" w:eastAsia="宋体" w:cs="Times New Roman"/>
                <w:sz w:val="24"/>
                <w:szCs w:val="24"/>
                <w:lang w:val="en-US" w:eastAsia="zh-CN"/>
              </w:rPr>
              <w:t>11下午</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审核条款：  En: 5.3；6.2；</w:t>
            </w:r>
            <w:r>
              <w:rPr>
                <w:rFonts w:hint="eastAsia" w:ascii="Times New Roman" w:hAnsi="Times New Roman" w:eastAsia="宋体" w:cs="Times New Roman"/>
                <w:sz w:val="24"/>
                <w:szCs w:val="24"/>
                <w:lang w:val="en-US" w:eastAsia="zh-CN"/>
              </w:rPr>
              <w:t>7.2；7.3；7.4；10</w:t>
            </w:r>
            <w:r>
              <w:rPr>
                <w:rFonts w:hint="eastAsia" w:ascii="Times New Roman" w:hAnsi="Times New Roman" w:eastAsia="宋体" w:cs="Times New Roman"/>
                <w:sz w:val="24"/>
                <w:szCs w:val="24"/>
              </w:rPr>
              <w:t>.1；10.</w:t>
            </w:r>
            <w:r>
              <w:rPr>
                <w:rFonts w:hint="eastAsia" w:ascii="Times New Roman" w:hAnsi="Times New Roman" w:eastAsia="宋体" w:cs="Times New Roman"/>
                <w:sz w:val="24"/>
                <w:szCs w:val="24"/>
                <w:lang w:val="en-US" w:eastAsia="zh-CN"/>
              </w:rPr>
              <w:t>2</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组织的岗位、职责和权限</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5.3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陈总介绍：部门共6人，主要职责：人力资源管理、行政管理、采购管理、用车管理、IT管理、其他管理等；</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eastAsia="楷体"/>
                <w:szCs w:val="21"/>
                <w:lang w:val="en-US" w:eastAsia="zh-CN"/>
              </w:rPr>
            </w:pPr>
            <w:r>
              <w:rPr>
                <w:rFonts w:hint="eastAsia" w:ascii="Times New Roman" w:hAnsi="Times New Roman" w:eastAsia="宋体" w:cs="Times New Roman"/>
                <w:sz w:val="24"/>
                <w:szCs w:val="24"/>
                <w:lang w:val="en-US" w:eastAsia="zh-CN"/>
              </w:rPr>
              <w:t>人事行政部，参与制定各部门的职责，指导、协调、监督和考核各部门职责的履行情况，为生产经营提供服务；负责公司经营目标管理、人力资源管理、绩效管理；负责公司公共关系和文秘、档案工作；履行公司质量管理体系以外其它体系的相应职责，包括环境管理体系、职业健康管理体系和知识产权管理体系，以上内容需补充有关能源管理体系的相关内容已于企业进行沟通。</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szCs w:val="21"/>
              </w:rPr>
            </w:pPr>
            <w:r>
              <w:rPr>
                <w:rFonts w:hint="eastAsia" w:ascii="Times New Roman" w:hAnsi="Times New Roman" w:eastAsia="宋体" w:cs="Times New Roman"/>
                <w:sz w:val="24"/>
                <w:szCs w:val="24"/>
              </w:rPr>
              <w:t>目标、能源指及其实现的策划</w:t>
            </w:r>
          </w:p>
        </w:tc>
        <w:tc>
          <w:tcPr>
            <w:tcW w:w="960" w:type="dxa"/>
            <w:vAlign w:val="center"/>
          </w:tcPr>
          <w:p>
            <w:r>
              <w:rPr>
                <w:rFonts w:hint="eastAsia" w:ascii="Times New Roman" w:hAnsi="Times New Roman" w:eastAsia="宋体" w:cs="Times New Roman"/>
                <w:sz w:val="24"/>
                <w:szCs w:val="24"/>
              </w:rPr>
              <w:t>6.2</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提供环境目标目标、指标和管理方案  部门分解一览表，2021年2月9日批准实施，其中节能降耗指标见下图。</w:t>
            </w:r>
          </w:p>
          <w:p>
            <w:pPr>
              <w:pStyle w:val="2"/>
              <w:rPr>
                <w:rFonts w:hint="eastAsia"/>
                <w:lang w:val="en-US" w:eastAsia="zh-CN"/>
              </w:rPr>
            </w:pPr>
            <w:r>
              <w:drawing>
                <wp:inline distT="0" distB="0" distL="114300" distR="114300">
                  <wp:extent cx="2226945" cy="5778500"/>
                  <wp:effectExtent l="0" t="0" r="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rot="16200000">
                            <a:off x="0" y="0"/>
                            <a:ext cx="2226945" cy="5778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人事行政部有两项内容是责任部门：1）由人事行政部负责通过宣传窗、简报、邮件等宣传“节能降耗、增产增效”的思想，提高员工的节能意识；人事部每季度统计一次，提供统计结果</w:t>
            </w:r>
            <w:r>
              <w:rPr>
                <w:rFonts w:hint="eastAsia" w:cs="Times New Roman"/>
                <w:color w:val="0000FF"/>
                <w:sz w:val="24"/>
                <w:szCs w:val="24"/>
                <w:lang w:val="en-US" w:eastAsia="zh-CN"/>
              </w:rPr>
              <w:t>：</w:t>
            </w:r>
            <w:r>
              <w:rPr>
                <w:rFonts w:hint="eastAsia" w:ascii="Times New Roman" w:hAnsi="Times New Roman" w:eastAsia="宋体" w:cs="Times New Roman"/>
                <w:sz w:val="24"/>
                <w:szCs w:val="24"/>
                <w:lang w:val="en-US" w:eastAsia="zh-CN"/>
              </w:rPr>
              <w:t>企业微信公众号： 5月31日污水零直排交叉调研检查。2021年度经营目标及各部门年度考核指标持续列入本年度节能降耗目标。在公司各办公室、会议室的舒适性空调上粘贴节能标签。</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lang w:val="en-US" w:eastAsia="zh-CN"/>
              </w:rPr>
            </w:pPr>
            <w:r>
              <w:rPr>
                <w:rFonts w:hint="eastAsia" w:ascii="Times New Roman" w:hAnsi="Times New Roman" w:eastAsia="宋体" w:cs="Times New Roman"/>
                <w:sz w:val="24"/>
                <w:szCs w:val="24"/>
                <w:lang w:val="en-US" w:eastAsia="zh-CN"/>
              </w:rPr>
              <w:t>2)人走灯灭。杜绝长明灯，要求下班千及时关电脑、打印机、饮水机电源，要求人事行政部每月统计一次。提供统计结果：公共区域每日检查，抽查1月15日、2月10日、3月23日、4月15日、5月20日、6月10日检查结果符合要求。</w:t>
            </w:r>
          </w:p>
        </w:tc>
        <w:tc>
          <w:tcPr>
            <w:tcW w:w="14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szCs w:val="21"/>
              </w:rPr>
            </w:pPr>
            <w:r>
              <w:rPr>
                <w:rFonts w:hint="eastAsia" w:ascii="Times New Roman" w:hAnsi="Times New Roman" w:eastAsia="宋体" w:cs="Times New Roman"/>
                <w:sz w:val="24"/>
                <w:szCs w:val="24"/>
              </w:rPr>
              <w:t>能力、意识、</w:t>
            </w:r>
          </w:p>
        </w:tc>
        <w:tc>
          <w:tcPr>
            <w:tcW w:w="960" w:type="dxa"/>
            <w:vAlign w:val="center"/>
          </w:tcPr>
          <w:p>
            <w:r>
              <w:rPr>
                <w:rFonts w:hint="eastAsia" w:ascii="Times New Roman" w:hAnsi="Times New Roman" w:eastAsia="宋体" w:cs="Times New Roman"/>
                <w:sz w:val="24"/>
                <w:szCs w:val="24"/>
              </w:rPr>
              <w:t>7.2</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 xml:space="preserve">7.3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sz w:val="24"/>
                <w:szCs w:val="24"/>
                <w:lang w:val="en-US" w:eastAsia="zh-CN"/>
              </w:rPr>
              <w:t>企业制定了岗位说明书，公司共设置122 个岗位，其中人事行政部设有8个岗位，设备工程部设有 17个岗位，编制了17个岗位的职务说明书，有：设备工程部长职务说明书、安全环保部部长职务说明书、计量能源管理员职务说明书、安全管理员职务说明书、机修工职务说明书、锅炉工职务说明书、空调系统操作工职务说明书、培训管理员职务说明书等，</w:t>
            </w:r>
            <w:r>
              <w:rPr>
                <w:rFonts w:hint="eastAsia" w:ascii="Times New Roman" w:hAnsi="Times New Roman" w:eastAsia="宋体" w:cs="Times New Roman"/>
                <w:color w:val="0000FF"/>
                <w:sz w:val="24"/>
                <w:szCs w:val="24"/>
                <w:lang w:val="en-US" w:eastAsia="zh-CN"/>
              </w:rPr>
              <w:t>抽查设备工程部长职务说明书、计量能源管理员职务说明书、机修工职务说明书、锅炉工职务说明书、空调系统操作工职务说明书职务说明书等未补充有关能源管理（节能）方面的相关内容——问题项</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员工培训计划，“杭州康恩贝制药有限公司2021年度培训计划”共39项，其中“能源管理体系（标准）”全员参与，1月份实施，170人、“能源管理体系（法律法规和体系文件）”1月份实施，8人（能源推行小组）；“能源管理体系（内审员）”2月份实施，3人，已取证。</w:t>
            </w:r>
          </w:p>
          <w:p>
            <w:pPr>
              <w:pStyle w:val="2"/>
              <w:rPr>
                <w:rFonts w:hint="default"/>
                <w:lang w:val="en-US" w:eastAsia="zh-CN"/>
              </w:rPr>
            </w:pPr>
            <w:r>
              <w:rPr>
                <w:rFonts w:hint="eastAsia" w:ascii="Times New Roman" w:hAnsi="Times New Roman" w:eastAsia="宋体" w:cs="Times New Roman"/>
                <w:sz w:val="24"/>
                <w:szCs w:val="24"/>
                <w:lang w:val="en-US" w:eastAsia="zh-CN"/>
              </w:rPr>
              <w:t>抽查全员标准培训情况，包括：姓名、部门、开始时间、完成时间、学习时长、有效时长、状态：已完成，评估结果：合格。</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内审员证书：钱红娣，证书编号210523；蔡晨辰，证书编号210524；葛东海，证书编号210525；</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发证机构：TUV南德，认证时间：2021.5.27</w:t>
            </w:r>
          </w:p>
          <w:p>
            <w:pPr>
              <w:pStyle w:val="2"/>
              <w:rPr>
                <w:rFonts w:hint="default"/>
                <w:lang w:val="en-US" w:eastAsia="zh-CN"/>
              </w:rPr>
            </w:pPr>
            <w:r>
              <w:rPr>
                <w:rFonts w:hint="eastAsia" w:ascii="Times New Roman" w:hAnsi="Times New Roman" w:eastAsia="宋体" w:cs="Times New Roman"/>
                <w:sz w:val="24"/>
                <w:szCs w:val="24"/>
                <w:lang w:val="en-US" w:eastAsia="zh-CN"/>
              </w:rPr>
              <w:t>符合要求。</w:t>
            </w:r>
          </w:p>
        </w:tc>
        <w:tc>
          <w:tcPr>
            <w:tcW w:w="14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szCs w:val="21"/>
              </w:rPr>
            </w:pPr>
            <w:r>
              <w:rPr>
                <w:rFonts w:hint="eastAsia" w:ascii="Times New Roman" w:hAnsi="Times New Roman" w:eastAsia="宋体" w:cs="Times New Roman"/>
                <w:sz w:val="24"/>
                <w:szCs w:val="24"/>
                <w:lang w:val="en-US" w:eastAsia="zh-CN"/>
              </w:rPr>
              <w:t>沟通交流</w:t>
            </w:r>
          </w:p>
        </w:tc>
        <w:tc>
          <w:tcPr>
            <w:tcW w:w="960" w:type="dxa"/>
            <w:vAlign w:val="center"/>
          </w:tcPr>
          <w:p>
            <w:r>
              <w:rPr>
                <w:rFonts w:hint="eastAsia" w:ascii="Times New Roman" w:hAnsi="Times New Roman" w:eastAsia="宋体" w:cs="Times New Roman"/>
                <w:sz w:val="24"/>
                <w:szCs w:val="24"/>
                <w:lang w:val="en-US" w:eastAsia="zh-CN"/>
              </w:rPr>
              <w:t>7.4</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公司编制《沟通与信息交流控制程序》，规定能源管理体系的相关信息进行内、外部交流的程序及交流的方式、内容、对象和时机。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内部信息交流</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 xml:space="preserve">包括与能源绩效、能源管理体系运行有关的信息，包括适用的法律法规、标准及其他要求，能源目标、指标实现情况及其考核的过程和结果，各部门的职责、设备设施控制参数，节能技术或管理经验，能源利用过程监视和测量结果，不符合及纠正措施等。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cs="Times New Roman"/>
                <w:sz w:val="24"/>
                <w:szCs w:val="24"/>
                <w:lang w:val="en-US" w:eastAsia="zh-CN"/>
              </w:rPr>
            </w:pPr>
            <w:r>
              <w:rPr>
                <w:rFonts w:hint="eastAsia" w:cs="Times New Roman"/>
                <w:sz w:val="24"/>
                <w:szCs w:val="24"/>
                <w:lang w:val="en-US" w:eastAsia="zh-CN"/>
              </w:rPr>
              <w:t>抽查：</w:t>
            </w:r>
            <w:r>
              <w:rPr>
                <w:rFonts w:hint="eastAsia" w:ascii="Times New Roman" w:hAnsi="Times New Roman" w:eastAsia="宋体" w:cs="Times New Roman"/>
                <w:sz w:val="24"/>
                <w:szCs w:val="24"/>
                <w:lang w:val="en-US" w:eastAsia="zh-CN"/>
              </w:rPr>
              <w:t>公司及会议记录，2021年1月份行政例会会议纪要，会议内容：202</w:t>
            </w:r>
            <w:r>
              <w:rPr>
                <w:rFonts w:hint="eastAsia" w:cs="Times New Roman"/>
                <w:sz w:val="24"/>
                <w:szCs w:val="24"/>
                <w:lang w:val="en-US" w:eastAsia="zh-CN"/>
              </w:rPr>
              <w:t>1年</w:t>
            </w:r>
            <w:r>
              <w:rPr>
                <w:rFonts w:hint="eastAsia" w:ascii="Times New Roman" w:hAnsi="Times New Roman" w:eastAsia="宋体" w:cs="Times New Roman"/>
                <w:sz w:val="24"/>
                <w:szCs w:val="24"/>
                <w:lang w:val="en-US" w:eastAsia="zh-CN"/>
              </w:rPr>
              <w:t>重点要做的</w:t>
            </w:r>
            <w:r>
              <w:rPr>
                <w:rFonts w:hint="eastAsia" w:cs="Times New Roman"/>
                <w:sz w:val="24"/>
                <w:szCs w:val="24"/>
                <w:lang w:val="en-US" w:eastAsia="zh-CN"/>
              </w:rPr>
              <w:t>几件事情：内容包括“公司计划做绿色工厂的认证工作，相关部门要根据认证要求条例做好本年的工作计划，特别是设备工程部的能源管理体系监理工作......”</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Times New Roman"/>
                <w:sz w:val="24"/>
                <w:szCs w:val="24"/>
                <w:lang w:val="en-US" w:eastAsia="zh-CN"/>
              </w:rPr>
            </w:pPr>
            <w:r>
              <w:rPr>
                <w:rFonts w:hint="eastAsia" w:cs="Times New Roman"/>
                <w:sz w:val="24"/>
                <w:szCs w:val="24"/>
                <w:lang w:val="en-US" w:eastAsia="zh-CN"/>
              </w:rPr>
              <w:t>抽查能源管理体系全员培训，培训记录见7.2审核记录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s="Times New Roman"/>
                <w:sz w:val="24"/>
                <w:szCs w:val="24"/>
                <w:lang w:val="en-US" w:eastAsia="zh-CN"/>
              </w:rPr>
            </w:pPr>
            <w:r>
              <w:rPr>
                <w:rFonts w:hint="eastAsia" w:cs="Times New Roman"/>
                <w:sz w:val="24"/>
                <w:szCs w:val="24"/>
                <w:lang w:val="en-US" w:eastAsia="zh-CN"/>
              </w:rPr>
              <w:t>抽查：三车间扩产改造方案讨论会会议纪要，2021年2月20日“...你增加温州健牌的JHZ—250湿法制粒机，上海信源Z35E压片机”等</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建议企业发动员工对能源管理体系的改进提出合理化建议和意见，不断改进公司能源管理绩效</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已于企业进行沟通。</w:t>
            </w:r>
            <w:r>
              <w:rPr>
                <w:rFonts w:hint="eastAsia"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外部信息交流</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包括：寻求节能信息；定期向政府部门报送公司能源消耗报表和能源利用状况报告，其他需向相关方通报的信息等。</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cs="Times New Roman"/>
                <w:sz w:val="24"/>
                <w:szCs w:val="24"/>
                <w:lang w:val="en-US" w:eastAsia="zh-CN"/>
              </w:rPr>
            </w:pPr>
            <w:r>
              <w:rPr>
                <w:rFonts w:hint="eastAsia" w:cs="Times New Roman"/>
                <w:sz w:val="24"/>
                <w:szCs w:val="24"/>
                <w:lang w:val="en-US" w:eastAsia="zh-CN"/>
              </w:rPr>
              <w:t>抽查：</w:t>
            </w:r>
            <w:r>
              <w:rPr>
                <w:rFonts w:hint="eastAsia" w:ascii="Times New Roman" w:hAnsi="Times New Roman" w:eastAsia="宋体" w:cs="Times New Roman"/>
                <w:sz w:val="24"/>
                <w:szCs w:val="24"/>
                <w:lang w:val="en-US" w:eastAsia="zh-CN"/>
              </w:rPr>
              <w:t>向浙江省统计局“浙江省统计联网直报门户”每月上报的报表2021年1-6月份</w:t>
            </w:r>
          </w:p>
          <w:p>
            <w:pPr>
              <w:pStyle w:val="2"/>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抽查：向供方采购的电、水、燃油的支付等见财务部审核记录和物控部的审核记录。</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szCs w:val="21"/>
              </w:rPr>
            </w:pPr>
            <w:r>
              <w:rPr>
                <w:rFonts w:hint="eastAsia" w:ascii="Times New Roman" w:hAnsi="Times New Roman" w:eastAsia="宋体" w:cs="Times New Roman"/>
                <w:sz w:val="24"/>
                <w:szCs w:val="24"/>
              </w:rPr>
              <w:t>不符合与纠正措施</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持续改进</w:t>
            </w:r>
          </w:p>
        </w:tc>
        <w:tc>
          <w:tcPr>
            <w:tcW w:w="960" w:type="dxa"/>
            <w:vAlign w:val="center"/>
          </w:tcPr>
          <w:p>
            <w:pPr>
              <w:rPr>
                <w:rFonts w:hint="eastAsia" w:eastAsia="宋体"/>
                <w:lang w:val="en-US" w:eastAsia="zh-CN"/>
              </w:rPr>
            </w:pPr>
            <w:r>
              <w:rPr>
                <w:rFonts w:hint="eastAsia" w:ascii="Times New Roman" w:hAnsi="Times New Roman" w:eastAsia="宋体" w:cs="Times New Roman"/>
                <w:sz w:val="24"/>
                <w:szCs w:val="24"/>
              </w:rPr>
              <w:t xml:space="preserve">10.1 </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 xml:space="preserve">10.2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0" w:firstLineChars="1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能源管理体系运行以来没有发生不符合。但根据日常管理情况，人事行政部具有持续改进的能力。</w:t>
            </w:r>
          </w:p>
        </w:tc>
        <w:tc>
          <w:tcPr>
            <w:tcW w:w="1417" w:type="dxa"/>
          </w:tcPr>
          <w:p>
            <w:pPr>
              <w:rPr>
                <w:rFonts w:hint="eastAsia" w:eastAsia="宋体"/>
                <w:lang w:val="en-US" w:eastAsia="zh-CN"/>
              </w:rPr>
            </w:pPr>
            <w:r>
              <w:rPr>
                <w:rFonts w:hint="eastAsia"/>
                <w:lang w:val="en-US" w:eastAsia="zh-CN"/>
              </w:rPr>
              <w:t>y</w:t>
            </w:r>
          </w:p>
        </w:tc>
      </w:tr>
    </w:tbl>
    <w:p>
      <w:pPr>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抽样计划</w:t>
            </w:r>
          </w:p>
        </w:tc>
        <w:tc>
          <w:tcPr>
            <w:tcW w:w="9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涉及</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条款</w:t>
            </w: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受审核部门：  </w:t>
            </w:r>
            <w:r>
              <w:rPr>
                <w:rFonts w:hint="eastAsia" w:ascii="Times New Roman" w:hAnsi="Times New Roman" w:eastAsia="宋体" w:cs="Times New Roman"/>
                <w:sz w:val="24"/>
                <w:szCs w:val="24"/>
                <w:lang w:val="en-US" w:eastAsia="zh-CN"/>
              </w:rPr>
              <w:t>质量控制部</w:t>
            </w:r>
            <w:r>
              <w:rPr>
                <w:rFonts w:hint="eastAsia" w:ascii="Times New Roman" w:hAnsi="Times New Roman" w:eastAsia="宋体" w:cs="Times New Roman"/>
                <w:sz w:val="24"/>
                <w:szCs w:val="24"/>
              </w:rPr>
              <w:t xml:space="preserve">                主管领导 </w:t>
            </w:r>
            <w:r>
              <w:rPr>
                <w:rFonts w:hint="eastAsia" w:ascii="Times New Roman" w:hAnsi="Times New Roman" w:eastAsia="宋体" w:cs="Times New Roman"/>
                <w:sz w:val="24"/>
                <w:szCs w:val="24"/>
                <w:lang w:eastAsia="zh-CN"/>
              </w:rPr>
              <w:t xml:space="preserve">：徐鹏鹤  </w:t>
            </w:r>
            <w:r>
              <w:rPr>
                <w:rFonts w:hint="eastAsia" w:ascii="Times New Roman" w:hAnsi="Times New Roman" w:eastAsia="宋体" w:cs="Times New Roman"/>
                <w:sz w:val="24"/>
                <w:szCs w:val="24"/>
              </w:rPr>
              <w:t xml:space="preserve">            陪同人员 </w:t>
            </w:r>
            <w:r>
              <w:rPr>
                <w:rFonts w:hint="eastAsia" w:ascii="Times New Roman" w:hAnsi="Times New Roman" w:eastAsia="宋体" w:cs="Times New Roman"/>
                <w:sz w:val="24"/>
                <w:szCs w:val="24"/>
                <w:lang w:val="en-US" w:eastAsia="zh-CN"/>
              </w:rPr>
              <w:t>：葛东海</w:t>
            </w:r>
          </w:p>
        </w:tc>
        <w:tc>
          <w:tcPr>
            <w:tcW w:w="1417" w:type="dxa"/>
            <w:vMerge w:val="restart"/>
            <w:vAlign w:val="center"/>
          </w:tcPr>
          <w:p>
            <w:pPr>
              <w:rPr>
                <w:szCs w:val="21"/>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审核员：   </w:t>
            </w:r>
            <w:r>
              <w:rPr>
                <w:rFonts w:hint="eastAsia" w:ascii="Times New Roman" w:hAnsi="Times New Roman" w:eastAsia="宋体" w:cs="Times New Roman"/>
                <w:sz w:val="24"/>
                <w:szCs w:val="24"/>
                <w:lang w:val="en-US" w:eastAsia="zh-CN"/>
              </w:rPr>
              <w:t>李丽英</w:t>
            </w:r>
            <w:r>
              <w:rPr>
                <w:rFonts w:hint="eastAsia" w:ascii="Times New Roman" w:hAnsi="Times New Roman" w:eastAsia="宋体" w:cs="Times New Roman"/>
                <w:sz w:val="24"/>
                <w:szCs w:val="24"/>
              </w:rPr>
              <w:t xml:space="preserve">                    审核时间： 2021.07.</w:t>
            </w:r>
            <w:r>
              <w:rPr>
                <w:rFonts w:hint="eastAsia" w:ascii="Times New Roman" w:hAnsi="Times New Roman" w:eastAsia="宋体" w:cs="Times New Roman"/>
                <w:sz w:val="24"/>
                <w:szCs w:val="24"/>
                <w:lang w:val="en-US" w:eastAsia="zh-CN"/>
              </w:rPr>
              <w:t>12上午</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审核条款：  En: 5.3；6.2；</w:t>
            </w:r>
            <w:r>
              <w:rPr>
                <w:rFonts w:hint="eastAsia" w:ascii="Times New Roman" w:hAnsi="Times New Roman" w:eastAsia="宋体" w:cs="Times New Roman"/>
                <w:sz w:val="24"/>
                <w:szCs w:val="24"/>
                <w:lang w:val="en-US" w:eastAsia="zh-CN"/>
              </w:rPr>
              <w:t>7.4</w:t>
            </w:r>
            <w:r>
              <w:rPr>
                <w:rFonts w:hint="eastAsia" w:ascii="Times New Roman" w:hAnsi="Times New Roman" w:eastAsia="宋体" w:cs="Times New Roman"/>
                <w:sz w:val="24"/>
                <w:szCs w:val="24"/>
              </w:rPr>
              <w:t>；8.1；10.1；</w:t>
            </w:r>
            <w:r>
              <w:rPr>
                <w:rFonts w:hint="eastAsia" w:ascii="Times New Roman" w:hAnsi="Times New Roman" w:eastAsia="宋体" w:cs="Times New Roman"/>
                <w:sz w:val="24"/>
                <w:szCs w:val="24"/>
                <w:lang w:val="en-US" w:eastAsia="zh-CN"/>
              </w:rPr>
              <w:t>10.2</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ascii="Times New Roman" w:hAnsi="Times New Roman" w:eastAsia="宋体" w:cs="Times New Roman"/>
                <w:sz w:val="24"/>
                <w:szCs w:val="24"/>
              </w:rPr>
              <w:t>组织的岗位、职责和权限</w:t>
            </w:r>
          </w:p>
        </w:tc>
        <w:tc>
          <w:tcPr>
            <w:tcW w:w="960" w:type="dxa"/>
            <w:vAlign w:val="center"/>
          </w:tcPr>
          <w:p>
            <w:r>
              <w:rPr>
                <w:rFonts w:hint="eastAsia" w:ascii="Times New Roman" w:hAnsi="Times New Roman" w:eastAsia="宋体" w:cs="Times New Roman"/>
                <w:sz w:val="24"/>
                <w:szCs w:val="24"/>
              </w:rPr>
              <w:t xml:space="preserve">5.3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徐鹏鹤介绍：共25人，业务包括：实验室管理、持续稳定性考察、其他管理</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质量控制部负责履行本文件规定的职责。</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按《药品生产质量管理规范》(Good Manufacture Practice of Medical Products，GMP)GMP</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药品生产质量管理规范</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和Chp</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中国药典</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等法规负责质量控制，参与公司所有与质量控制有关的活动，建立各项控制措施，确保质量控制活动合规、受控。</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主要包括：</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实验室管理：建立</w:t>
            </w:r>
            <w:r>
              <w:rPr>
                <w:rFonts w:hint="default" w:ascii="Times New Roman" w:hAnsi="Times New Roman" w:eastAsia="宋体" w:cs="Times New Roman"/>
                <w:sz w:val="24"/>
                <w:szCs w:val="24"/>
                <w:lang w:val="en-US" w:eastAsia="zh-CN"/>
              </w:rPr>
              <w:t>和完善物料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内包材除外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、产品的内控标准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检验操作规程</w:t>
            </w:r>
            <w:r>
              <w:rPr>
                <w:rFonts w:hint="eastAsia" w:ascii="Times New Roman" w:hAnsi="Times New Roman" w:eastAsia="宋体" w:cs="Times New Roman"/>
                <w:sz w:val="24"/>
                <w:szCs w:val="24"/>
                <w:lang w:val="en-US" w:eastAsia="zh-CN"/>
              </w:rPr>
              <w:t>和记录，并按经批准的质量标准、检验操；作规程实施检验，出具检验报告单建立检验结果超常超标调查的操作规程，任何检验结果超常超标都应按操作规程进行调查，并有相应的记录；建立留样的操作规程，并按规程进行物料、产品的留样，对留样进行管理。建立试剂、试液、培养基的管理规程，并按规程做好接收、配制、贮存、使用、销毁的记录和管理。建立检定菌保存、传代、使用、销毁的操作和记录，并按要求做好检定菌的管理。</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持续稳定性考察：</w:t>
            </w:r>
            <w:r>
              <w:rPr>
                <w:rFonts w:hint="eastAsia" w:ascii="Times New Roman" w:hAnsi="Times New Roman" w:eastAsia="宋体" w:cs="Times New Roman"/>
                <w:sz w:val="24"/>
                <w:szCs w:val="24"/>
              </w:rPr>
              <w:t>对产品的质量稳定性进行评价，为确定产品有效期提供依据。</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eastAsia="楷体"/>
                <w:lang w:eastAsia="zh-CN"/>
              </w:rPr>
            </w:pPr>
            <w:r>
              <w:rPr>
                <w:rFonts w:hint="eastAsia" w:ascii="Times New Roman" w:hAnsi="Times New Roman" w:eastAsia="宋体" w:cs="Times New Roman"/>
                <w:sz w:val="24"/>
                <w:szCs w:val="24"/>
                <w:lang w:val="en-US" w:eastAsia="zh-CN"/>
              </w:rPr>
              <w:t>其他职责：遵守公司环境/职业健康安全管理体系文件的相关规定，负责本部门重要环境因素、一般环境因素、不可接受风险的识别、培训、控制。</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目标、能源指及其实现的策划</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6.2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提供质量目标、指标部门分解一览表，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质量控制部目标：确保主要检验仪器经过确认和维护保养，满足产品检验的要求；</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指标：建立检验仪器年度维护保养计划，并按计划实施，执行率100%，主要检验仪器均经确认合格后使用，没有逾期使用</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查：2021年上半年检验仪器的确认和维护保养符合要求。</w:t>
            </w:r>
          </w:p>
          <w:p>
            <w:pPr>
              <w:pStyle w:val="2"/>
              <w:rPr>
                <w:rFonts w:hint="eastAsia" w:cs="Times New Roman"/>
                <w:sz w:val="24"/>
                <w:szCs w:val="24"/>
                <w:lang w:val="en-US" w:eastAsia="zh-CN"/>
              </w:rPr>
            </w:pPr>
            <w:r>
              <w:rPr>
                <w:rFonts w:hint="eastAsia" w:cs="Times New Roman"/>
                <w:sz w:val="24"/>
                <w:szCs w:val="24"/>
                <w:lang w:val="en-US" w:eastAsia="zh-CN"/>
              </w:rPr>
              <w:t>企业未对质量控制部进行能源使用的目标控制，已于企业进行沟通。对质量控制部的实验室的电使用安装了计量器具。</w:t>
            </w:r>
          </w:p>
          <w:p>
            <w:pPr>
              <w:pStyle w:val="2"/>
              <w:rPr>
                <w:rFonts w:hint="default" w:cs="Times New Roman"/>
                <w:sz w:val="24"/>
                <w:szCs w:val="24"/>
                <w:lang w:val="en-US" w:eastAsia="zh-CN"/>
              </w:rPr>
            </w:pPr>
            <w:r>
              <w:rPr>
                <w:rFonts w:hint="eastAsia" w:cs="Times New Roman"/>
                <w:sz w:val="24"/>
                <w:szCs w:val="24"/>
                <w:lang w:val="en-US" w:eastAsia="zh-CN"/>
              </w:rPr>
              <w:t>2021年上半年目标已完成。</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沟通交流</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7.4</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质量保证部</w:t>
            </w:r>
            <w:r>
              <w:rPr>
                <w:rFonts w:hint="eastAsia" w:cs="Times New Roman"/>
                <w:sz w:val="24"/>
                <w:szCs w:val="24"/>
                <w:lang w:val="en-US" w:eastAsia="zh-CN"/>
              </w:rPr>
              <w:t>负责</w:t>
            </w:r>
            <w:r>
              <w:rPr>
                <w:rFonts w:hint="eastAsia" w:ascii="Times New Roman" w:hAnsi="Times New Roman" w:eastAsia="宋体" w:cs="Times New Roman"/>
                <w:sz w:val="24"/>
                <w:szCs w:val="24"/>
                <w:lang w:val="en-US" w:eastAsia="zh-CN"/>
              </w:rPr>
              <w:t>产品的采样，提供给质量控制部进行分析检验；提供检验结果给质量保证部，有质量保证部与相关部门进行沟通协调、调查解决。</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对新产品的分析方法与技术部进行沟通协调；</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实验室用电、水由设备工程部负责统计，分析。实验室使用消耗的氮气、空气由人事行政部进行采购等</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运行的策划和控制</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8.1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对实验室设备的管理，主要是用电力、新鲜水、氮气、空气等</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主要用能是实验室空调的控制用电，保持恒温环境，满足产品质量检验和持续稳定性考察的要求。</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编制了《实验室温湿度管理规程》，2019年7月3日实施，对各室温度提出了控制要求，如：</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标定室：控制温度10~30℃，相对湿度35~75%，并应尽量使标化温度与滴定温度相近以减少测量误差；</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天平室：温度应尽量稳定，避免大的波动，温度在10~30℃为宜，相对湿度75%以下；</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仪器室：紫外分光光度计、高效液相色谱仪等精密仪器应避开高温高湿环境，仪器室温湿度控制温度10~30℃，相对湿度75%以下比较适宜；</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查看2021年7月12日10:30，气相色谱仪室温度控制25℃，湿度60%；高效液相色谱仪室温度控制20℃，湿度50%；稳定性考察室（一）温度控制27℃，湿度52%;药品稳定性试验箱温度控制25±2℃，湿度60±5%;查看实际控制为温度控制25.0℃，湿度59.5%，</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满足要求。</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2324100" cy="25717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324100" cy="2571750"/>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drawing>
                <wp:inline distT="0" distB="0" distL="114300" distR="114300">
                  <wp:extent cx="2273300" cy="259397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273300" cy="2593975"/>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drawing>
                <wp:inline distT="0" distB="0" distL="114300" distR="114300">
                  <wp:extent cx="1992630" cy="2599055"/>
                  <wp:effectExtent l="0" t="0" r="127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1992630" cy="2599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2590800" cy="2711450"/>
                  <wp:effectExtent l="0" t="0" r="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2590800" cy="2711450"/>
                          </a:xfrm>
                          <a:prstGeom prst="rect">
                            <a:avLst/>
                          </a:prstGeom>
                          <a:noFill/>
                          <a:ln>
                            <a:noFill/>
                          </a:ln>
                        </pic:spPr>
                      </pic:pic>
                    </a:graphicData>
                  </a:graphic>
                </wp:inline>
              </w:drawing>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drawing>
                <wp:inline distT="0" distB="0" distL="114300" distR="114300">
                  <wp:extent cx="3961765" cy="2680335"/>
                  <wp:effectExtent l="0" t="0" r="63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3961765" cy="2680335"/>
                          </a:xfrm>
                          <a:prstGeom prst="rect">
                            <a:avLst/>
                          </a:prstGeom>
                          <a:noFill/>
                          <a:ln>
                            <a:noFill/>
                          </a:ln>
                        </pic:spPr>
                      </pic:pic>
                    </a:graphicData>
                  </a:graphic>
                </wp:inline>
              </w:drawing>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不符合与纠正措施、持续改进</w:t>
            </w:r>
          </w:p>
        </w:tc>
        <w:tc>
          <w:tcPr>
            <w:tcW w:w="960"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10.1</w:t>
            </w:r>
            <w:r>
              <w:rPr>
                <w:rFonts w:hint="eastAsia" w:ascii="Times New Roman" w:hAnsi="Times New Roman" w:eastAsia="宋体" w:cs="Times New Roman"/>
                <w:sz w:val="24"/>
                <w:szCs w:val="24"/>
                <w:lang w:val="en-US" w:eastAsia="zh-CN"/>
              </w:rPr>
              <w:t>/</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10.2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szCs w:val="21"/>
              </w:rPr>
            </w:pPr>
            <w:r>
              <w:rPr>
                <w:rFonts w:hint="eastAsia" w:cs="Times New Roman"/>
                <w:sz w:val="24"/>
                <w:szCs w:val="24"/>
                <w:lang w:val="en-US" w:eastAsia="zh-CN"/>
              </w:rPr>
              <w:t>能源管理体系运行以来质量控制部未发生不符合。但根据日常管理情况，认为质量控制部具有持续改进的能力。</w:t>
            </w:r>
          </w:p>
        </w:tc>
        <w:tc>
          <w:tcPr>
            <w:tcW w:w="1417" w:type="dxa"/>
          </w:tcPr>
          <w:p>
            <w:pPr>
              <w:rPr>
                <w:rFonts w:hint="eastAsia" w:eastAsia="宋体"/>
                <w:lang w:val="en-US" w:eastAsia="zh-CN"/>
              </w:rPr>
            </w:pPr>
            <w:r>
              <w:rPr>
                <w:rFonts w:hint="eastAsia"/>
                <w:lang w:val="en-US" w:eastAsia="zh-CN"/>
              </w:rPr>
              <w:t>y</w:t>
            </w:r>
          </w:p>
        </w:tc>
      </w:tr>
    </w:tbl>
    <w:p>
      <w:pPr>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pStyle w:val="2"/>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抽样计划</w:t>
            </w:r>
          </w:p>
        </w:tc>
        <w:tc>
          <w:tcPr>
            <w:tcW w:w="9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涉及</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条款</w:t>
            </w: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受审核部门：   </w:t>
            </w:r>
            <w:r>
              <w:rPr>
                <w:rFonts w:hint="eastAsia" w:ascii="Times New Roman" w:hAnsi="Times New Roman" w:eastAsia="宋体" w:cs="Times New Roman"/>
                <w:sz w:val="24"/>
                <w:szCs w:val="24"/>
                <w:lang w:val="en-US" w:eastAsia="zh-CN"/>
              </w:rPr>
              <w:t>质量保证部</w:t>
            </w:r>
            <w:r>
              <w:rPr>
                <w:rFonts w:hint="eastAsia" w:ascii="Times New Roman" w:hAnsi="Times New Roman" w:eastAsia="宋体" w:cs="Times New Roman"/>
                <w:sz w:val="24"/>
                <w:szCs w:val="24"/>
              </w:rPr>
              <w:t xml:space="preserve">                主管领导 </w:t>
            </w:r>
            <w:r>
              <w:rPr>
                <w:rFonts w:hint="eastAsia" w:ascii="Times New Roman" w:hAnsi="Times New Roman" w:eastAsia="宋体" w:cs="Times New Roman"/>
                <w:sz w:val="24"/>
                <w:szCs w:val="24"/>
                <w:lang w:eastAsia="zh-CN"/>
              </w:rPr>
              <w:t xml:space="preserve">：沈忱 </w:t>
            </w:r>
            <w:r>
              <w:rPr>
                <w:rFonts w:hint="eastAsia" w:ascii="Times New Roman" w:hAnsi="Times New Roman" w:eastAsia="宋体" w:cs="Times New Roman"/>
                <w:sz w:val="24"/>
                <w:szCs w:val="24"/>
              </w:rPr>
              <w:t xml:space="preserve">            陪同人员 </w:t>
            </w:r>
            <w:r>
              <w:rPr>
                <w:rFonts w:hint="eastAsia" w:ascii="Times New Roman" w:hAnsi="Times New Roman" w:eastAsia="宋体" w:cs="Times New Roman"/>
                <w:sz w:val="24"/>
                <w:szCs w:val="24"/>
                <w:lang w:val="en-US" w:eastAsia="zh-CN"/>
              </w:rPr>
              <w:t>：葛东海</w:t>
            </w:r>
          </w:p>
        </w:tc>
        <w:tc>
          <w:tcPr>
            <w:tcW w:w="1417" w:type="dxa"/>
            <w:vMerge w:val="restart"/>
            <w:vAlign w:val="center"/>
          </w:tcPr>
          <w:p>
            <w:pPr>
              <w:rPr>
                <w:szCs w:val="21"/>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审核员：   </w:t>
            </w:r>
            <w:r>
              <w:rPr>
                <w:rFonts w:hint="eastAsia" w:ascii="Times New Roman" w:hAnsi="Times New Roman" w:eastAsia="宋体" w:cs="Times New Roman"/>
                <w:sz w:val="24"/>
                <w:szCs w:val="24"/>
                <w:lang w:val="en-US" w:eastAsia="zh-CN"/>
              </w:rPr>
              <w:t>李丽英</w:t>
            </w:r>
            <w:r>
              <w:rPr>
                <w:rFonts w:hint="eastAsia" w:ascii="Times New Roman" w:hAnsi="Times New Roman" w:eastAsia="宋体" w:cs="Times New Roman"/>
                <w:sz w:val="24"/>
                <w:szCs w:val="24"/>
              </w:rPr>
              <w:t xml:space="preserve">                    审核时间： 2021.07.</w:t>
            </w:r>
            <w:r>
              <w:rPr>
                <w:rFonts w:hint="eastAsia" w:ascii="Times New Roman" w:hAnsi="Times New Roman" w:eastAsia="宋体" w:cs="Times New Roman"/>
                <w:sz w:val="24"/>
                <w:szCs w:val="24"/>
                <w:lang w:val="en-US" w:eastAsia="zh-CN"/>
              </w:rPr>
              <w:t>12下午</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  En: 5.3；6.2；</w:t>
            </w:r>
            <w:r>
              <w:rPr>
                <w:rFonts w:hint="eastAsia" w:ascii="Times New Roman" w:hAnsi="Times New Roman" w:eastAsia="宋体" w:cs="Times New Roman"/>
                <w:sz w:val="24"/>
                <w:szCs w:val="24"/>
                <w:lang w:val="en-US" w:eastAsia="zh-CN"/>
              </w:rPr>
              <w:t>7.4;</w:t>
            </w:r>
            <w:r>
              <w:rPr>
                <w:rFonts w:hint="eastAsia" w:ascii="Times New Roman" w:hAnsi="Times New Roman" w:eastAsia="宋体" w:cs="Times New Roman"/>
                <w:sz w:val="24"/>
                <w:szCs w:val="24"/>
              </w:rPr>
              <w:t>8.1；10.1</w:t>
            </w:r>
            <w:r>
              <w:rPr>
                <w:rFonts w:hint="eastAsia" w:ascii="Times New Roman" w:hAnsi="Times New Roman" w:eastAsia="宋体" w:cs="Times New Roman"/>
                <w:sz w:val="24"/>
                <w:szCs w:val="24"/>
                <w:lang w:val="en-US" w:eastAsia="zh-CN"/>
              </w:rPr>
              <w:t>;10.2</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ascii="Times New Roman" w:hAnsi="Times New Roman" w:eastAsia="宋体" w:cs="Times New Roman"/>
                <w:sz w:val="24"/>
                <w:szCs w:val="24"/>
              </w:rPr>
              <w:t>组织的岗位、职责和权限</w:t>
            </w:r>
          </w:p>
        </w:tc>
        <w:tc>
          <w:tcPr>
            <w:tcW w:w="960" w:type="dxa"/>
            <w:vAlign w:val="center"/>
          </w:tcPr>
          <w:p>
            <w:r>
              <w:rPr>
                <w:rFonts w:hint="eastAsia" w:ascii="Times New Roman" w:hAnsi="Times New Roman" w:eastAsia="宋体" w:cs="Times New Roman"/>
                <w:sz w:val="24"/>
                <w:szCs w:val="24"/>
              </w:rPr>
              <w:t xml:space="preserve">5.3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沈忱部长介绍：</w:t>
            </w:r>
            <w:r>
              <w:rPr>
                <w:rFonts w:hint="eastAsia" w:cs="Times New Roman"/>
                <w:sz w:val="24"/>
                <w:szCs w:val="24"/>
                <w:lang w:val="en-US" w:eastAsia="zh-CN"/>
              </w:rPr>
              <w:t>共11人，分为部长、QA经理、文件QA、2个物料QA、6个现场QA。</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按GMP要求负责质量保证工作，参与所有与质量有关的活动，建立和维护公司质量管理体系，负责公司质量体系的日常运行、维护和持续改进。行使质量否决权和产品放行权。</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履行公司质量管理体系以外其它体系的相应职责，包括环境管理体系、职业健康管理体系、知识产权管理体系和药品不良反应监测体系。</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主要包括：</w:t>
            </w:r>
            <w:r>
              <w:rPr>
                <w:rFonts w:hint="eastAsia" w:ascii="Times New Roman" w:hAnsi="Times New Roman" w:eastAsia="宋体" w:cs="Times New Roman"/>
                <w:sz w:val="24"/>
                <w:szCs w:val="24"/>
              </w:rPr>
              <w:t>质量目标管理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现场监督</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文件管理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物料与产品放行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环境监测</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取样和检验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负责物料、中间产品、成品及生产工艺用水、生活饮用水、公司排放废水的取样</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负责包装材料的检验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变更控制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偏差管理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纠正和预防措施</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质量</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供应商评估和批准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产品质量回顾分析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投诉管理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验证与确认</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委托检验和委托生产</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不合格品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退货与召回、</w:t>
            </w:r>
            <w:r>
              <w:rPr>
                <w:rFonts w:hint="eastAsia" w:ascii="Times New Roman" w:hAnsi="Times New Roman" w:eastAsia="宋体" w:cs="Times New Roman"/>
                <w:sz w:val="24"/>
                <w:szCs w:val="24"/>
              </w:rPr>
              <w:t>GMP自检和外部审计</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不良反应监测</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其他职责</w:t>
            </w:r>
            <w:r>
              <w:rPr>
                <w:rFonts w:hint="eastAsia" w:ascii="Times New Roman" w:hAnsi="Times New Roman" w:eastAsia="宋体" w:cs="Times New Roman"/>
                <w:sz w:val="24"/>
                <w:szCs w:val="24"/>
                <w:lang w:eastAsia="zh-CN"/>
              </w:rPr>
              <w:t>。</w:t>
            </w:r>
          </w:p>
          <w:p>
            <w:pPr>
              <w:rPr>
                <w:rFonts w:hint="eastAsia" w:eastAsia="宋体"/>
                <w:szCs w:val="21"/>
                <w:lang w:val="en-US" w:eastAsia="zh-CN"/>
              </w:rPr>
            </w:pP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目标、能源指及其实现的策划</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6.2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提供质量目标、指标部门分解一览表，</w:t>
            </w:r>
            <w:r>
              <w:rPr>
                <w:rFonts w:hint="eastAsia" w:cs="Times New Roman"/>
                <w:sz w:val="24"/>
                <w:szCs w:val="24"/>
                <w:lang w:val="en-US" w:eastAsia="zh-CN"/>
              </w:rPr>
              <w:t>2021年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质量</w:t>
            </w:r>
            <w:r>
              <w:rPr>
                <w:rFonts w:hint="eastAsia" w:cs="Times New Roman"/>
                <w:sz w:val="24"/>
                <w:szCs w:val="24"/>
                <w:lang w:val="en-US" w:eastAsia="zh-CN"/>
              </w:rPr>
              <w:t>保证</w:t>
            </w:r>
            <w:r>
              <w:rPr>
                <w:rFonts w:hint="eastAsia" w:ascii="Times New Roman" w:hAnsi="Times New Roman" w:eastAsia="宋体" w:cs="Times New Roman"/>
                <w:sz w:val="24"/>
                <w:szCs w:val="24"/>
                <w:lang w:val="en-US" w:eastAsia="zh-CN"/>
              </w:rPr>
              <w:t>部目标：</w:t>
            </w:r>
            <w:r>
              <w:rPr>
                <w:rFonts w:hint="eastAsia" w:cs="Times New Roman"/>
                <w:sz w:val="24"/>
                <w:szCs w:val="24"/>
                <w:lang w:val="en-US" w:eastAsia="zh-CN"/>
              </w:rPr>
              <w:t>持续减少质量损失</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s="Times New Roman"/>
                <w:sz w:val="24"/>
                <w:szCs w:val="24"/>
                <w:lang w:val="en-US" w:eastAsia="zh-CN"/>
              </w:rPr>
            </w:pPr>
            <w:r>
              <w:rPr>
                <w:rFonts w:hint="eastAsia" w:cs="Times New Roman"/>
                <w:sz w:val="24"/>
                <w:szCs w:val="24"/>
                <w:lang w:val="en-US" w:eastAsia="zh-CN"/>
              </w:rPr>
              <w:t>指标：质量损失占产品销售额的0.23%；</w:t>
            </w:r>
          </w:p>
          <w:p>
            <w:pPr>
              <w:keepNext w:val="0"/>
              <w:keepLines w:val="0"/>
              <w:pageBreakBefore w:val="0"/>
              <w:widowControl w:val="0"/>
              <w:kinsoku/>
              <w:wordWrap/>
              <w:overflowPunct/>
              <w:topLinePunct w:val="0"/>
              <w:autoSpaceDE/>
              <w:autoSpaceDN/>
              <w:bidi w:val="0"/>
              <w:adjustRightInd/>
              <w:snapToGrid/>
              <w:spacing w:line="360" w:lineRule="auto"/>
              <w:ind w:firstLine="1920" w:firstLineChars="800"/>
              <w:textAlignment w:val="auto"/>
              <w:rPr>
                <w:rFonts w:hint="eastAsia" w:cs="Times New Roman"/>
                <w:sz w:val="24"/>
                <w:szCs w:val="24"/>
                <w:lang w:val="en-US" w:eastAsia="zh-CN"/>
              </w:rPr>
            </w:pPr>
            <w:r>
              <w:rPr>
                <w:rFonts w:hint="eastAsia" w:cs="Times New Roman"/>
                <w:sz w:val="24"/>
                <w:szCs w:val="24"/>
                <w:lang w:val="en-US" w:eastAsia="zh-CN"/>
              </w:rPr>
              <w:t>偏差和OOS处理率100%，不得在偏差和OOS关闭前放行产品；</w:t>
            </w:r>
          </w:p>
          <w:p>
            <w:pPr>
              <w:keepNext w:val="0"/>
              <w:keepLines w:val="0"/>
              <w:pageBreakBefore w:val="0"/>
              <w:widowControl w:val="0"/>
              <w:kinsoku/>
              <w:wordWrap/>
              <w:overflowPunct/>
              <w:topLinePunct w:val="0"/>
              <w:autoSpaceDE/>
              <w:autoSpaceDN/>
              <w:bidi w:val="0"/>
              <w:adjustRightInd/>
              <w:snapToGrid/>
              <w:spacing w:line="360" w:lineRule="auto"/>
              <w:ind w:firstLine="1920" w:firstLineChars="800"/>
              <w:textAlignment w:val="auto"/>
              <w:rPr>
                <w:rFonts w:hint="eastAsia" w:cs="Times New Roman"/>
                <w:sz w:val="24"/>
                <w:szCs w:val="24"/>
                <w:lang w:val="en-US" w:eastAsia="zh-CN"/>
              </w:rPr>
            </w:pPr>
            <w:r>
              <w:rPr>
                <w:rFonts w:hint="eastAsia" w:cs="Times New Roman"/>
                <w:sz w:val="24"/>
                <w:szCs w:val="24"/>
                <w:lang w:val="en-US" w:eastAsia="zh-CN"/>
              </w:rPr>
              <w:t>产品年度回顾计划完成率100%等；</w:t>
            </w:r>
          </w:p>
          <w:p>
            <w:pPr>
              <w:pStyle w:val="2"/>
              <w:rPr>
                <w:rFonts w:hint="default"/>
                <w:lang w:val="en-US" w:eastAsia="zh-CN"/>
              </w:rPr>
            </w:pPr>
            <w:r>
              <w:rPr>
                <w:rFonts w:hint="eastAsia" w:cs="Times New Roman"/>
                <w:sz w:val="24"/>
                <w:szCs w:val="24"/>
                <w:lang w:val="en-US" w:eastAsia="zh-CN"/>
              </w:rPr>
              <w:t>2021年1-6月份完成情况。目前企业正在进行上半年考核统计，上半年指标全部完成。</w:t>
            </w:r>
          </w:p>
          <w:p>
            <w:pPr>
              <w:rPr>
                <w:rFonts w:hint="eastAsia"/>
                <w:szCs w:val="21"/>
              </w:rPr>
            </w:pP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沟通交流</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7.4</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质量保证部</w:t>
            </w:r>
            <w:r>
              <w:rPr>
                <w:rFonts w:hint="eastAsia" w:cs="Times New Roman"/>
                <w:sz w:val="24"/>
                <w:szCs w:val="24"/>
                <w:lang w:val="en-US" w:eastAsia="zh-CN"/>
              </w:rPr>
              <w:t>负责</w:t>
            </w:r>
            <w:r>
              <w:rPr>
                <w:rFonts w:hint="eastAsia" w:ascii="Times New Roman" w:hAnsi="Times New Roman" w:eastAsia="宋体" w:cs="Times New Roman"/>
                <w:sz w:val="24"/>
                <w:szCs w:val="24"/>
                <w:lang w:val="en-US" w:eastAsia="zh-CN"/>
              </w:rPr>
              <w:t>产品的采样，提供给质量控制部进行分析检验；提供检验结果给质量保证部，有质量保证部与相关部门进行沟通协调、调查解决。对外沟通交流的对象主要有：各经销商的产品咨询和质量投诉，顾客的用药咨询、质量投诉、不良反应报告；与政府药品监管部门的沟通交流、外部审计的整改情况；与原辅物料供应商的问题反馈和沟通交流</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对新产品的分析方法与技术部进行沟通协调；</w:t>
            </w:r>
          </w:p>
          <w:p>
            <w:pPr>
              <w:rPr>
                <w:rFonts w:hint="eastAsia"/>
                <w:szCs w:val="21"/>
              </w:rPr>
            </w:pPr>
            <w:r>
              <w:rPr>
                <w:rFonts w:hint="eastAsia" w:ascii="Times New Roman" w:hAnsi="Times New Roman" w:eastAsia="宋体" w:cs="Times New Roman"/>
                <w:sz w:val="24"/>
                <w:szCs w:val="24"/>
                <w:lang w:val="en-US" w:eastAsia="zh-CN"/>
              </w:rPr>
              <w:t>实验室用电、水由设备工程部负责统计，分析。实验室使用消耗的氮气、空气由人事行政部进行采购等</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运行的策划和控制</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8.1 </w:t>
            </w:r>
          </w:p>
        </w:tc>
        <w:tc>
          <w:tcPr>
            <w:tcW w:w="11022"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企业编制了变更控制管理规程、物料供应商审计和档案管理规程、偏差调查管理规程、生产工艺规程等。</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抽取请验取样送检单3份，有物料名称、批号、物料类别、取样日期、送检日期、请检人、QA取样人、QC收样人。</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抽取非那雄胺片压片批生产记录，批号为24210609、24210610，压片片重控制范围为±5%，实际称量重量均在范围.抽查24210609、24210610批铝塑包装岗位生产前检查记录，检查现场环境是否符合标准。</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变更审批表BG-E202102-01,变更范围为物料和供应商，评估为主要变更，有审批人员签字，变更包括风险评估、计划可行性评估，有风险评估人签字，制定变更计划，实施变更，并对变更风险控制及效果达成情况进行总结。</w:t>
            </w:r>
            <w:r>
              <w:rPr>
                <w:rFonts w:hint="eastAsia" w:cs="Times New Roman"/>
                <w:sz w:val="24"/>
                <w:szCs w:val="24"/>
                <w:lang w:val="en-US" w:eastAsia="zh-CN"/>
              </w:rPr>
              <w:t>建议在以后的变更管理的风险评估中增加有关节能方面的风险评估。已于企业进行沟通。</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抽查偏差调查报告PC-G202104-10，2021年4月30日，有偏差描述、应急处理措施、相关部门的调查、偏差原因分析分类和偏差影响性评估及纠正行动计划表，纠正行动完成情况评价。</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康恩贝制药有限公司建立了ERP系统，有合格供应商共57家，每年由质量保证部召集物控部等有关部门对每个供应商进行绩效评比，对不合格供应商从合格供应商目录中剔除。抽查物料供应商2020年度绩效考评表，湖南尔康制药股份有限公司、上海卡乐康包衣技术有限公司、海盐六和药业有限公司、上海广得利胶囊有限公司等考核表，考核项目包括质量50分，交货15分，售后服务15分，环保生产3分，价格7分。已通过合格供应商评定。</w:t>
            </w:r>
          </w:p>
          <w:p>
            <w:pPr>
              <w:pStyle w:val="2"/>
              <w:rPr>
                <w:rFonts w:hint="default"/>
                <w:lang w:val="en-US" w:eastAsia="zh-CN"/>
              </w:rPr>
            </w:pPr>
            <w:r>
              <w:rPr>
                <w:rFonts w:hint="eastAsia" w:cs="Times New Roman"/>
                <w:sz w:val="24"/>
                <w:szCs w:val="24"/>
                <w:lang w:val="en-US" w:eastAsia="zh-CN"/>
              </w:rPr>
              <w:t>符合要求。</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不符合与纠正措施、持续改进</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10.1</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 xml:space="preserve">10.2 </w:t>
            </w:r>
          </w:p>
        </w:tc>
        <w:tc>
          <w:tcPr>
            <w:tcW w:w="11022" w:type="dxa"/>
            <w:vAlign w:val="center"/>
          </w:tcPr>
          <w:p>
            <w:pPr>
              <w:rPr>
                <w:rFonts w:hint="eastAsia"/>
                <w:szCs w:val="21"/>
              </w:rPr>
            </w:pPr>
            <w:r>
              <w:rPr>
                <w:rFonts w:hint="eastAsia" w:cs="Times New Roman"/>
                <w:sz w:val="24"/>
                <w:szCs w:val="24"/>
                <w:lang w:val="en-US" w:eastAsia="zh-CN"/>
              </w:rPr>
              <w:t>能源管理体系运行以来质量保证部未发生不符合。但根据日常管理情况，认为质量保证部具有持续改进的能力。</w:t>
            </w:r>
          </w:p>
        </w:tc>
        <w:tc>
          <w:tcPr>
            <w:tcW w:w="1417" w:type="dxa"/>
          </w:tcPr>
          <w:p>
            <w:pPr>
              <w:rPr>
                <w:rFonts w:hint="eastAsia" w:eastAsia="宋体"/>
                <w:lang w:val="en-US" w:eastAsia="zh-CN"/>
              </w:rPr>
            </w:pPr>
            <w:r>
              <w:rPr>
                <w:rFonts w:hint="eastAsia"/>
                <w:lang w:val="en-US" w:eastAsia="zh-CN"/>
              </w:rPr>
              <w:t>y</w:t>
            </w:r>
          </w:p>
        </w:tc>
      </w:tr>
    </w:tbl>
    <w:p>
      <w:pPr>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抽样计划</w:t>
            </w:r>
          </w:p>
        </w:tc>
        <w:tc>
          <w:tcPr>
            <w:tcW w:w="960" w:type="dxa"/>
            <w:vMerge w:val="restart"/>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涉及</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条款</w:t>
            </w:r>
          </w:p>
        </w:tc>
        <w:tc>
          <w:tcPr>
            <w:tcW w:w="11022"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受审核部门：  财务部                主管领导    </w:t>
            </w:r>
            <w:r>
              <w:rPr>
                <w:rFonts w:hint="eastAsia" w:ascii="Times New Roman" w:hAnsi="Times New Roman" w:eastAsia="宋体" w:cs="Times New Roman"/>
                <w:sz w:val="24"/>
                <w:szCs w:val="24"/>
                <w:lang w:val="en-US" w:eastAsia="zh-CN"/>
              </w:rPr>
              <w:t>童顺新</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陪同人员 </w:t>
            </w:r>
            <w:r>
              <w:rPr>
                <w:rFonts w:hint="eastAsia" w:ascii="Times New Roman" w:hAnsi="Times New Roman" w:eastAsia="宋体" w:cs="Times New Roman"/>
                <w:sz w:val="24"/>
                <w:szCs w:val="24"/>
                <w:lang w:val="en-US" w:eastAsia="zh-CN"/>
              </w:rPr>
              <w:t>葛东海</w:t>
            </w:r>
          </w:p>
        </w:tc>
        <w:tc>
          <w:tcPr>
            <w:tcW w:w="1417" w:type="dxa"/>
            <w:vMerge w:val="restart"/>
            <w:vAlign w:val="center"/>
          </w:tcPr>
          <w:p>
            <w:pPr>
              <w:rPr>
                <w:szCs w:val="21"/>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审核员：  </w:t>
            </w:r>
            <w:r>
              <w:rPr>
                <w:rFonts w:hint="eastAsia" w:ascii="Times New Roman" w:hAnsi="Times New Roman" w:eastAsia="宋体" w:cs="Times New Roman"/>
                <w:sz w:val="24"/>
                <w:szCs w:val="24"/>
                <w:lang w:val="en-US" w:eastAsia="zh-CN"/>
              </w:rPr>
              <w:t>李丽英</w:t>
            </w:r>
            <w:r>
              <w:rPr>
                <w:rFonts w:hint="eastAsia" w:ascii="Times New Roman" w:hAnsi="Times New Roman" w:eastAsia="宋体" w:cs="Times New Roman"/>
                <w:sz w:val="24"/>
                <w:szCs w:val="24"/>
              </w:rPr>
              <w:t xml:space="preserve">                     审核时间： 2021.07.</w:t>
            </w:r>
            <w:r>
              <w:rPr>
                <w:rFonts w:hint="eastAsia" w:ascii="Times New Roman" w:hAnsi="Times New Roman" w:eastAsia="宋体" w:cs="Times New Roman"/>
                <w:sz w:val="24"/>
                <w:szCs w:val="24"/>
                <w:lang w:val="en-US" w:eastAsia="zh-CN"/>
              </w:rPr>
              <w:t>13上午</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rPr>
            </w:pPr>
          </w:p>
        </w:tc>
        <w:tc>
          <w:tcPr>
            <w:tcW w:w="960" w:type="dxa"/>
            <w:vMerge w:val="continue"/>
            <w:vAlign w:val="center"/>
          </w:tcPr>
          <w:p>
            <w:pPr>
              <w:rPr>
                <w:rFonts w:hint="eastAsia" w:ascii="Times New Roman" w:hAnsi="Times New Roman" w:eastAsia="宋体" w:cs="Times New Roman"/>
                <w:sz w:val="24"/>
                <w:szCs w:val="24"/>
              </w:rPr>
            </w:pPr>
          </w:p>
        </w:tc>
        <w:tc>
          <w:tcPr>
            <w:tcW w:w="11022"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  En: 5.3；6.2；8.1；10.1</w:t>
            </w:r>
            <w:r>
              <w:rPr>
                <w:rFonts w:hint="eastAsia" w:ascii="宋体" w:hAnsi="宋体"/>
                <w:szCs w:val="21"/>
                <w:lang w:eastAsia="zh-CN"/>
              </w:rPr>
              <w:t>；</w:t>
            </w:r>
            <w:r>
              <w:rPr>
                <w:rFonts w:hint="eastAsia" w:ascii="宋体" w:hAnsi="宋体"/>
                <w:szCs w:val="21"/>
                <w:lang w:val="en-US" w:eastAsia="zh-CN"/>
              </w:rPr>
              <w:t xml:space="preserve">      </w:t>
            </w:r>
          </w:p>
        </w:tc>
        <w:tc>
          <w:tcPr>
            <w:tcW w:w="14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宋体" w:hAnsi="宋体"/>
                <w:sz w:val="24"/>
                <w:szCs w:val="24"/>
              </w:rPr>
            </w:pPr>
            <w:r>
              <w:rPr>
                <w:rFonts w:hint="eastAsia" w:ascii="宋体" w:hAnsi="宋体"/>
                <w:sz w:val="24"/>
                <w:szCs w:val="24"/>
              </w:rPr>
              <w:t>了解部门基本情况；的岗位设置；</w:t>
            </w:r>
          </w:p>
          <w:p>
            <w:pPr>
              <w:rPr>
                <w:rFonts w:ascii="宋体" w:hAnsi="宋体"/>
                <w:sz w:val="24"/>
                <w:szCs w:val="24"/>
              </w:rPr>
            </w:pPr>
            <w:r>
              <w:rPr>
                <w:rFonts w:hint="eastAsia" w:ascii="宋体" w:hAnsi="宋体"/>
                <w:sz w:val="24"/>
                <w:szCs w:val="24"/>
              </w:rPr>
              <w:t>职责和权限</w:t>
            </w:r>
          </w:p>
          <w:p>
            <w:pPr>
              <w:rPr>
                <w:rFonts w:hint="eastAsia" w:ascii="Times New Roman" w:hAnsi="Times New Roman" w:eastAsia="宋体" w:cs="Times New Roman"/>
                <w:sz w:val="24"/>
                <w:szCs w:val="24"/>
              </w:rPr>
            </w:pP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En5.3</w:t>
            </w:r>
          </w:p>
        </w:tc>
        <w:tc>
          <w:tcPr>
            <w:tcW w:w="11022" w:type="dxa"/>
            <w:vAlign w:val="center"/>
          </w:tcPr>
          <w:p>
            <w:pPr>
              <w:rPr>
                <w:sz w:val="24"/>
                <w:szCs w:val="24"/>
              </w:rPr>
            </w:pPr>
            <w:r>
              <w:t xml:space="preserve"> </w:t>
            </w:r>
            <w:r>
              <w:rPr>
                <w:sz w:val="24"/>
                <w:szCs w:val="24"/>
              </w:rPr>
              <w:t xml:space="preserve">  </w:t>
            </w:r>
            <w:r>
              <w:rPr>
                <w:rFonts w:hint="eastAsia"/>
                <w:sz w:val="24"/>
                <w:szCs w:val="24"/>
                <w:lang w:val="en-US" w:eastAsia="zh-CN"/>
              </w:rPr>
              <w:t>童部长介绍：</w:t>
            </w:r>
            <w:r>
              <w:rPr>
                <w:rFonts w:hint="eastAsia"/>
                <w:sz w:val="24"/>
                <w:szCs w:val="24"/>
              </w:rPr>
              <w:t>本部门共有</w:t>
            </w:r>
            <w:r>
              <w:rPr>
                <w:rFonts w:hint="eastAsia"/>
                <w:sz w:val="24"/>
                <w:szCs w:val="24"/>
                <w:lang w:val="en-US" w:eastAsia="zh-CN"/>
              </w:rPr>
              <w:t>5</w:t>
            </w:r>
            <w:r>
              <w:rPr>
                <w:rFonts w:hint="eastAsia"/>
                <w:sz w:val="24"/>
                <w:szCs w:val="24"/>
              </w:rPr>
              <w:t>人，设经理、成本核算、固定资产、</w:t>
            </w:r>
            <w:r>
              <w:rPr>
                <w:rFonts w:hint="eastAsia"/>
                <w:sz w:val="24"/>
                <w:szCs w:val="24"/>
                <w:lang w:val="en-US" w:eastAsia="zh-CN"/>
              </w:rPr>
              <w:t>采购/销售、</w:t>
            </w:r>
            <w:r>
              <w:rPr>
                <w:rFonts w:hint="eastAsia"/>
                <w:sz w:val="24"/>
                <w:szCs w:val="24"/>
              </w:rPr>
              <w:t>统计、</w:t>
            </w:r>
            <w:r>
              <w:rPr>
                <w:rFonts w:hint="eastAsia"/>
                <w:sz w:val="24"/>
                <w:szCs w:val="24"/>
                <w:lang w:val="en-US" w:eastAsia="zh-CN"/>
              </w:rPr>
              <w:t>出纳</w:t>
            </w:r>
            <w:r>
              <w:rPr>
                <w:rFonts w:hint="eastAsia"/>
                <w:sz w:val="24"/>
                <w:szCs w:val="24"/>
              </w:rPr>
              <w:t>会计等岗位。</w:t>
            </w:r>
          </w:p>
          <w:p>
            <w:pPr>
              <w:rPr>
                <w:sz w:val="24"/>
                <w:szCs w:val="24"/>
              </w:rPr>
            </w:pPr>
          </w:p>
          <w:p>
            <w:pPr>
              <w:widowControl w:val="0"/>
              <w:spacing w:line="360" w:lineRule="exact"/>
              <w:jc w:val="both"/>
              <w:rPr>
                <w:rFonts w:hint="eastAsia"/>
                <w:sz w:val="24"/>
                <w:szCs w:val="24"/>
              </w:rPr>
            </w:pPr>
            <w:r>
              <w:rPr>
                <w:rFonts w:hint="eastAsia"/>
                <w:sz w:val="24"/>
                <w:szCs w:val="24"/>
              </w:rPr>
              <w:t>主要负责负责公司会计核算、财务预测和财务分析；负责公司资金运作、资金筹集与融通；负责财务会计监督和管理、内部审计；负责部门质量/环保/职业健康安全三项体系的有效运行和和持续改进。</w:t>
            </w:r>
          </w:p>
          <w:p>
            <w:pPr>
              <w:ind w:firstLine="480"/>
              <w:rPr>
                <w:rFonts w:ascii="宋体" w:hAnsi="宋体" w:cs="宋体"/>
                <w:sz w:val="24"/>
                <w:szCs w:val="24"/>
              </w:rPr>
            </w:pPr>
          </w:p>
          <w:p>
            <w:pPr>
              <w:ind w:firstLine="480" w:firstLineChars="200"/>
              <w:rPr>
                <w:sz w:val="24"/>
                <w:szCs w:val="24"/>
              </w:rPr>
            </w:pPr>
            <w:r>
              <w:rPr>
                <w:rFonts w:hint="eastAsia"/>
                <w:sz w:val="24"/>
                <w:szCs w:val="24"/>
              </w:rPr>
              <w:t>出示有部门能源职责规定及岗位职责规定，内容基本符合要求。</w:t>
            </w:r>
          </w:p>
          <w:p>
            <w:pPr>
              <w:rPr>
                <w:rFonts w:hint="eastAsia" w:ascii="Times New Roman" w:hAnsi="Times New Roman" w:eastAsia="宋体" w:cs="Times New Roman"/>
                <w:sz w:val="24"/>
                <w:szCs w:val="24"/>
              </w:rPr>
            </w:pP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sz w:val="24"/>
                <w:szCs w:val="24"/>
              </w:rPr>
            </w:pPr>
            <w:r>
              <w:rPr>
                <w:rFonts w:hint="eastAsia" w:ascii="宋体" w:hAnsi="宋体"/>
                <w:sz w:val="24"/>
                <w:szCs w:val="24"/>
              </w:rPr>
              <w:t>查能源目标、指标及其实现的策划</w:t>
            </w: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En6.2</w:t>
            </w:r>
          </w:p>
        </w:tc>
        <w:tc>
          <w:tcPr>
            <w:tcW w:w="11022" w:type="dxa"/>
            <w:vAlign w:val="center"/>
          </w:tcPr>
          <w:p>
            <w:pPr>
              <w:rPr>
                <w:sz w:val="24"/>
                <w:szCs w:val="24"/>
              </w:rPr>
            </w:pPr>
            <w:r>
              <w:rPr>
                <w:rFonts w:hint="eastAsia"/>
                <w:sz w:val="24"/>
                <w:szCs w:val="24"/>
              </w:rPr>
              <w:t>出示部门分解目标指标，涉及能源的主要有：</w:t>
            </w:r>
          </w:p>
          <w:p>
            <w:pPr>
              <w:rPr>
                <w:sz w:val="24"/>
                <w:szCs w:val="24"/>
              </w:rPr>
            </w:pPr>
            <w:r>
              <w:rPr>
                <w:rFonts w:hint="eastAsia"/>
                <w:sz w:val="24"/>
                <w:szCs w:val="24"/>
              </w:rPr>
              <w:t xml:space="preserve"> </w:t>
            </w:r>
            <w:r>
              <w:rPr>
                <w:sz w:val="24"/>
                <w:szCs w:val="24"/>
              </w:rPr>
              <w:t xml:space="preserve">      </w:t>
            </w:r>
          </w:p>
          <w:p>
            <w:pPr>
              <w:pStyle w:val="16"/>
              <w:numPr>
                <w:ilvl w:val="0"/>
                <w:numId w:val="2"/>
              </w:numPr>
              <w:rPr>
                <w:sz w:val="24"/>
                <w:szCs w:val="24"/>
              </w:rPr>
            </w:pPr>
            <w:r>
              <w:rPr>
                <w:rFonts w:hint="eastAsia"/>
                <w:sz w:val="24"/>
                <w:szCs w:val="24"/>
              </w:rPr>
              <w:t>确保公司生产能源资金供给1</w:t>
            </w:r>
            <w:r>
              <w:rPr>
                <w:sz w:val="24"/>
                <w:szCs w:val="24"/>
              </w:rPr>
              <w:t>00%</w:t>
            </w:r>
            <w:r>
              <w:rPr>
                <w:rFonts w:hint="eastAsia"/>
                <w:sz w:val="24"/>
                <w:szCs w:val="24"/>
              </w:rPr>
              <w:t>；</w:t>
            </w:r>
          </w:p>
          <w:p>
            <w:pPr>
              <w:pStyle w:val="16"/>
              <w:numPr>
                <w:ilvl w:val="0"/>
                <w:numId w:val="2"/>
              </w:numPr>
              <w:rPr>
                <w:sz w:val="24"/>
                <w:szCs w:val="24"/>
              </w:rPr>
            </w:pPr>
            <w:r>
              <w:rPr>
                <w:rFonts w:hint="eastAsia"/>
                <w:sz w:val="24"/>
                <w:szCs w:val="24"/>
              </w:rPr>
              <w:t>确保财务核算、按章纳税合规合法；</w:t>
            </w:r>
          </w:p>
          <w:p>
            <w:pPr>
              <w:pStyle w:val="16"/>
              <w:numPr>
                <w:ilvl w:val="0"/>
                <w:numId w:val="2"/>
              </w:numPr>
              <w:rPr>
                <w:sz w:val="24"/>
                <w:szCs w:val="24"/>
              </w:rPr>
            </w:pPr>
            <w:r>
              <w:rPr>
                <w:rFonts w:hint="eastAsia"/>
                <w:sz w:val="24"/>
                <w:szCs w:val="24"/>
              </w:rPr>
              <w:t>成本核算、资金收付与预算、统计等差错率为零。</w:t>
            </w:r>
          </w:p>
          <w:p>
            <w:pPr>
              <w:rPr>
                <w:sz w:val="24"/>
                <w:szCs w:val="24"/>
              </w:rPr>
            </w:pPr>
          </w:p>
          <w:p>
            <w:pPr>
              <w:ind w:left="960" w:hanging="960" w:hangingChars="400"/>
              <w:rPr>
                <w:sz w:val="24"/>
                <w:szCs w:val="24"/>
              </w:rPr>
            </w:pPr>
            <w:r>
              <w:rPr>
                <w:rFonts w:hint="eastAsia"/>
                <w:sz w:val="24"/>
                <w:szCs w:val="24"/>
              </w:rPr>
              <w:t xml:space="preserve"> </w:t>
            </w:r>
            <w:r>
              <w:rPr>
                <w:sz w:val="24"/>
                <w:szCs w:val="24"/>
              </w:rPr>
              <w:t xml:space="preserve"> </w:t>
            </w:r>
            <w:r>
              <w:rPr>
                <w:rFonts w:hint="eastAsia"/>
                <w:sz w:val="24"/>
                <w:szCs w:val="24"/>
                <w:lang w:val="en-US" w:eastAsia="zh-CN"/>
              </w:rPr>
              <w:t>本</w:t>
            </w:r>
            <w:r>
              <w:rPr>
                <w:rFonts w:hint="eastAsia"/>
                <w:sz w:val="24"/>
                <w:szCs w:val="24"/>
              </w:rPr>
              <w:t>部门</w:t>
            </w:r>
            <w:r>
              <w:rPr>
                <w:rFonts w:hint="eastAsia"/>
                <w:sz w:val="24"/>
                <w:szCs w:val="24"/>
                <w:lang w:val="en-US" w:eastAsia="zh-CN"/>
              </w:rPr>
              <w:t>按</w:t>
            </w:r>
            <w:r>
              <w:rPr>
                <w:rFonts w:hint="eastAsia"/>
                <w:sz w:val="24"/>
                <w:szCs w:val="24"/>
              </w:rPr>
              <w:t>季对目标指标完成情况进行检查考核，经查本部门2</w:t>
            </w:r>
            <w:r>
              <w:rPr>
                <w:sz w:val="24"/>
                <w:szCs w:val="24"/>
              </w:rPr>
              <w:t>021</w:t>
            </w:r>
            <w:r>
              <w:rPr>
                <w:rFonts w:hint="eastAsia"/>
                <w:sz w:val="24"/>
                <w:szCs w:val="24"/>
              </w:rPr>
              <w:t>年一季度和二季度</w:t>
            </w:r>
          </w:p>
          <w:p>
            <w:pPr>
              <w:ind w:left="960" w:hanging="960" w:hangingChars="400"/>
              <w:rPr>
                <w:sz w:val="24"/>
                <w:szCs w:val="24"/>
              </w:rPr>
            </w:pPr>
          </w:p>
          <w:p>
            <w:pPr>
              <w:rPr>
                <w:sz w:val="24"/>
                <w:szCs w:val="24"/>
              </w:rPr>
            </w:pPr>
            <w:r>
              <w:rPr>
                <w:rFonts w:hint="eastAsia"/>
                <w:sz w:val="24"/>
                <w:szCs w:val="24"/>
              </w:rPr>
              <w:t>能源各项目标指标全部完成。</w:t>
            </w:r>
          </w:p>
          <w:p>
            <w:pPr>
              <w:rPr>
                <w:rFonts w:hint="eastAsia" w:ascii="Times New Roman" w:hAnsi="Times New Roman" w:eastAsia="宋体" w:cs="Times New Roman"/>
                <w:sz w:val="24"/>
                <w:szCs w:val="24"/>
              </w:rPr>
            </w:pP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ind w:firstLine="240" w:firstLineChars="100"/>
              <w:rPr>
                <w:rFonts w:ascii="宋体" w:hAnsi="宋体"/>
                <w:sz w:val="24"/>
                <w:szCs w:val="24"/>
              </w:rPr>
            </w:pPr>
            <w:r>
              <w:rPr>
                <w:rFonts w:hint="eastAsia" w:ascii="宋体" w:hAnsi="宋体"/>
                <w:sz w:val="24"/>
                <w:szCs w:val="24"/>
              </w:rPr>
              <w:t>运行的策划和</w:t>
            </w:r>
          </w:p>
          <w:p>
            <w:pPr>
              <w:ind w:firstLine="480" w:firstLineChars="200"/>
              <w:rPr>
                <w:rFonts w:ascii="宋体" w:hAnsi="宋体"/>
                <w:sz w:val="24"/>
                <w:szCs w:val="24"/>
              </w:rPr>
            </w:pPr>
            <w:r>
              <w:rPr>
                <w:rFonts w:hint="eastAsia" w:ascii="宋体" w:hAnsi="宋体"/>
                <w:sz w:val="24"/>
                <w:szCs w:val="24"/>
              </w:rPr>
              <w:t>控制</w:t>
            </w:r>
          </w:p>
          <w:p>
            <w:pPr>
              <w:rPr>
                <w:rFonts w:hint="eastAsia" w:ascii="Times New Roman" w:hAnsi="Times New Roman" w:eastAsia="宋体" w:cs="Times New Roman"/>
                <w:sz w:val="24"/>
                <w:szCs w:val="24"/>
              </w:rPr>
            </w:pP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En8.1</w:t>
            </w:r>
          </w:p>
        </w:tc>
        <w:tc>
          <w:tcPr>
            <w:tcW w:w="11022" w:type="dxa"/>
            <w:vAlign w:val="center"/>
          </w:tcPr>
          <w:p>
            <w:pPr>
              <w:keepNext w:val="0"/>
              <w:keepLines w:val="0"/>
              <w:pageBreakBefore w:val="0"/>
              <w:kinsoku/>
              <w:wordWrap/>
              <w:overflowPunct/>
              <w:topLinePunct w:val="0"/>
              <w:autoSpaceDE/>
              <w:autoSpaceDN/>
              <w:bidi w:val="0"/>
              <w:adjustRightInd/>
              <w:snapToGrid/>
              <w:spacing w:before="157" w:beforeLines="50" w:line="360" w:lineRule="auto"/>
              <w:rPr>
                <w:rFonts w:ascii="宋体" w:hAnsi="宋体"/>
                <w:spacing w:val="20"/>
                <w:sz w:val="24"/>
                <w:szCs w:val="24"/>
              </w:rPr>
            </w:pPr>
            <w:r>
              <w:rPr>
                <w:rFonts w:hint="eastAsia" w:ascii="宋体" w:hAnsi="宋体" w:cs="宋体"/>
                <w:sz w:val="24"/>
                <w:szCs w:val="24"/>
              </w:rPr>
              <w:t>本部门策划编制了财务管理</w:t>
            </w:r>
            <w:r>
              <w:rPr>
                <w:rFonts w:hint="eastAsia" w:ascii="宋体" w:hAnsi="宋体" w:cs="宋体"/>
                <w:sz w:val="24"/>
                <w:szCs w:val="24"/>
                <w:lang w:val="en-US" w:eastAsia="zh-CN"/>
              </w:rPr>
              <w:t>相关制度</w:t>
            </w:r>
            <w:r>
              <w:rPr>
                <w:rFonts w:hint="eastAsia" w:ascii="宋体" w:hAnsi="宋体" w:cs="宋体"/>
                <w:sz w:val="24"/>
                <w:szCs w:val="24"/>
              </w:rPr>
              <w:t>，内容规定了公司生产经营、财务核算、按章纳税的控制要求，以确保公司生产经营资金供给充分。</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eastAsia="zh-CN"/>
              </w:rPr>
            </w:pPr>
            <w:r>
              <w:rPr>
                <w:rFonts w:hint="eastAsia" w:ascii="宋体" w:hAnsi="宋体"/>
                <w:spacing w:val="20"/>
                <w:sz w:val="24"/>
                <w:szCs w:val="24"/>
              </w:rPr>
              <w:t>公司主要需求能源品种有三种</w:t>
            </w:r>
            <w:r>
              <w:rPr>
                <w:rFonts w:hint="eastAsia" w:ascii="宋体" w:hAnsi="宋体"/>
                <w:spacing w:val="20"/>
                <w:sz w:val="24"/>
                <w:szCs w:val="24"/>
                <w:lang w:val="en-US" w:eastAsia="zh-CN"/>
              </w:rPr>
              <w:t>燃料油</w:t>
            </w:r>
            <w:r>
              <w:rPr>
                <w:rFonts w:hint="eastAsia" w:ascii="宋体" w:hAnsi="宋体"/>
                <w:spacing w:val="20"/>
                <w:sz w:val="24"/>
                <w:szCs w:val="24"/>
              </w:rPr>
              <w:t>、电和水</w:t>
            </w:r>
            <w:r>
              <w:rPr>
                <w:rFonts w:hint="eastAsia" w:ascii="宋体" w:hAnsi="宋体"/>
                <w:spacing w:val="2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z w:val="24"/>
                <w:szCs w:val="24"/>
                <w:lang w:eastAsia="zh-CN"/>
              </w:rPr>
            </w:pPr>
            <w:r>
              <w:rPr>
                <w:rFonts w:hint="eastAsia" w:ascii="宋体" w:hAnsi="宋体" w:cs="宋体"/>
                <w:sz w:val="24"/>
                <w:szCs w:val="24"/>
              </w:rPr>
              <w:t>柴油：杭州华亭贸易有限公司</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z w:val="24"/>
                <w:szCs w:val="24"/>
              </w:rPr>
            </w:pPr>
            <w:r>
              <w:rPr>
                <w:rFonts w:hint="eastAsia" w:ascii="宋体" w:hAnsi="宋体" w:cs="宋体"/>
                <w:sz w:val="24"/>
                <w:szCs w:val="24"/>
              </w:rPr>
              <w:t>电：国网浙江省电力有限公司杭州供电公司</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cs="宋体"/>
                <w:sz w:val="24"/>
                <w:szCs w:val="24"/>
              </w:rPr>
            </w:pPr>
            <w:r>
              <w:rPr>
                <w:rFonts w:hint="eastAsia" w:ascii="宋体" w:hAnsi="宋体" w:cs="宋体"/>
                <w:sz w:val="24"/>
                <w:szCs w:val="24"/>
              </w:rPr>
              <w:t>水：杭州滨江水务有限公司</w:t>
            </w:r>
          </w:p>
          <w:p>
            <w:pPr>
              <w:keepNext w:val="0"/>
              <w:keepLines w:val="0"/>
              <w:pageBreakBefore w:val="0"/>
              <w:kinsoku/>
              <w:wordWrap/>
              <w:overflowPunct/>
              <w:topLinePunct w:val="0"/>
              <w:autoSpaceDE/>
              <w:autoSpaceDN/>
              <w:bidi w:val="0"/>
              <w:adjustRightInd/>
              <w:snapToGrid/>
              <w:spacing w:before="157" w:beforeLines="50" w:line="360" w:lineRule="auto"/>
              <w:rPr>
                <w:rFonts w:ascii="宋体" w:hAnsi="宋体"/>
                <w:spacing w:val="20"/>
                <w:sz w:val="24"/>
                <w:szCs w:val="24"/>
              </w:rPr>
            </w:pPr>
            <w:r>
              <w:rPr>
                <w:rFonts w:hint="eastAsia" w:ascii="宋体" w:hAnsi="宋体"/>
                <w:spacing w:val="20"/>
                <w:sz w:val="24"/>
                <w:szCs w:val="24"/>
                <w:lang w:val="en-US" w:eastAsia="zh-CN"/>
              </w:rPr>
              <w:t>公司对采购的能源</w:t>
            </w:r>
            <w:r>
              <w:rPr>
                <w:rFonts w:hint="eastAsia" w:ascii="宋体" w:hAnsi="宋体"/>
                <w:spacing w:val="20"/>
                <w:sz w:val="24"/>
                <w:szCs w:val="24"/>
              </w:rPr>
              <w:t>按</w:t>
            </w:r>
            <w:r>
              <w:rPr>
                <w:rFonts w:hint="eastAsia" w:ascii="宋体" w:hAnsi="宋体"/>
                <w:spacing w:val="20"/>
                <w:sz w:val="24"/>
                <w:szCs w:val="24"/>
                <w:lang w:val="en-US" w:eastAsia="zh-CN"/>
              </w:rPr>
              <w:t>时</w:t>
            </w:r>
            <w:r>
              <w:rPr>
                <w:rFonts w:hint="eastAsia" w:ascii="宋体" w:hAnsi="宋体"/>
                <w:spacing w:val="20"/>
                <w:sz w:val="24"/>
                <w:szCs w:val="24"/>
              </w:rPr>
              <w:t>支付</w:t>
            </w:r>
            <w:r>
              <w:rPr>
                <w:rFonts w:hint="eastAsia" w:ascii="宋体" w:hAnsi="宋体"/>
                <w:spacing w:val="20"/>
                <w:sz w:val="24"/>
                <w:szCs w:val="24"/>
                <w:lang w:val="en-US" w:eastAsia="zh-CN"/>
              </w:rPr>
              <w:t>资金，确保生产供应</w:t>
            </w:r>
            <w:r>
              <w:rPr>
                <w:rFonts w:hint="eastAsia" w:ascii="宋体" w:hAnsi="宋体"/>
                <w:spacing w:val="20"/>
                <w:sz w:val="24"/>
                <w:szCs w:val="24"/>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rPr>
              <w:t>抽查2</w:t>
            </w:r>
            <w:r>
              <w:rPr>
                <w:rFonts w:ascii="宋体" w:hAnsi="宋体"/>
                <w:spacing w:val="20"/>
                <w:sz w:val="24"/>
                <w:szCs w:val="24"/>
              </w:rPr>
              <w:t>021</w:t>
            </w:r>
            <w:r>
              <w:rPr>
                <w:rFonts w:hint="eastAsia" w:ascii="宋体" w:hAnsi="宋体"/>
                <w:spacing w:val="20"/>
                <w:sz w:val="24"/>
                <w:szCs w:val="24"/>
              </w:rPr>
              <w:t>年</w:t>
            </w:r>
            <w:r>
              <w:rPr>
                <w:rFonts w:hint="eastAsia" w:ascii="宋体" w:hAnsi="宋体"/>
                <w:spacing w:val="20"/>
                <w:sz w:val="24"/>
                <w:szCs w:val="24"/>
                <w:lang w:val="en-US" w:eastAsia="zh-CN"/>
              </w:rPr>
              <w:t>1</w:t>
            </w:r>
            <w:r>
              <w:rPr>
                <w:rFonts w:hint="eastAsia" w:ascii="宋体" w:hAnsi="宋体"/>
                <w:spacing w:val="20"/>
                <w:sz w:val="24"/>
                <w:szCs w:val="24"/>
              </w:rPr>
              <w:t>月</w:t>
            </w:r>
            <w:r>
              <w:rPr>
                <w:rFonts w:hint="eastAsia" w:ascii="宋体" w:hAnsi="宋体"/>
                <w:spacing w:val="20"/>
                <w:sz w:val="24"/>
                <w:szCs w:val="24"/>
                <w:lang w:val="en-US" w:eastAsia="zh-CN"/>
              </w:rPr>
              <w:t>至6</w:t>
            </w:r>
            <w:r>
              <w:rPr>
                <w:rFonts w:hint="eastAsia" w:ascii="宋体" w:hAnsi="宋体"/>
                <w:spacing w:val="20"/>
                <w:sz w:val="24"/>
                <w:szCs w:val="24"/>
              </w:rPr>
              <w:t>月</w:t>
            </w:r>
            <w:r>
              <w:rPr>
                <w:rFonts w:hint="eastAsia" w:ascii="宋体" w:hAnsi="宋体"/>
                <w:spacing w:val="20"/>
                <w:sz w:val="24"/>
                <w:szCs w:val="24"/>
                <w:lang w:val="en-US" w:eastAsia="zh-CN"/>
              </w:rPr>
              <w:t>分别</w:t>
            </w:r>
            <w:r>
              <w:rPr>
                <w:rFonts w:hint="eastAsia" w:ascii="宋体" w:hAnsi="宋体"/>
                <w:spacing w:val="20"/>
                <w:sz w:val="24"/>
                <w:szCs w:val="24"/>
              </w:rPr>
              <w:t>支付</w:t>
            </w:r>
            <w:r>
              <w:rPr>
                <w:rFonts w:hint="eastAsia" w:ascii="宋体" w:hAnsi="宋体" w:cs="宋体"/>
                <w:sz w:val="24"/>
                <w:szCs w:val="24"/>
              </w:rPr>
              <w:t>国网浙江省电力有限公司杭州供电公司</w:t>
            </w:r>
            <w:r>
              <w:rPr>
                <w:rFonts w:hint="eastAsia" w:ascii="宋体" w:hAnsi="宋体"/>
                <w:spacing w:val="20"/>
                <w:sz w:val="24"/>
                <w:szCs w:val="24"/>
                <w:lang w:val="en-US" w:eastAsia="zh-CN"/>
              </w:rPr>
              <w:t>电费</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lang w:val="en-US" w:eastAsia="zh-CN"/>
              </w:rPr>
              <w:t>1月4日和1月16日共172023.76元（发票号码03263413：109729.69元、发票号码03557293：62294.07元）；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lang w:val="en-US" w:eastAsia="zh-CN"/>
              </w:rPr>
              <w:t>2月4日和2月17日共154166.41元（发票号码03562355：103746.77元、发票号码08905306：50419.64元）；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lang w:val="en-US" w:eastAsia="zh-CN"/>
              </w:rPr>
              <w:t>3月4日和3月17日共158370.81元（发票号码08906609:93115.06元、发票号码089084101：65255.75元）；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lang w:val="en-US" w:eastAsia="zh-CN"/>
              </w:rPr>
              <w:t>4月4日和4月16日共252340.58元（发票号码09027278：167932.73元、发票号码09029134：84407.85元）；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lang w:val="en-US" w:eastAsia="zh-CN"/>
              </w:rPr>
              <w:t>5月4日和5月16日共284426.29元（发票号码09031749：181838.77元、发票号码24152556：102587.52元）；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6月4日和6月16日共313352.62</w:t>
            </w:r>
            <w:r>
              <w:rPr>
                <w:rFonts w:hint="eastAsia" w:ascii="宋体" w:hAnsi="宋体"/>
                <w:spacing w:val="20"/>
                <w:sz w:val="24"/>
                <w:szCs w:val="24"/>
              </w:rPr>
              <w:t>元</w:t>
            </w:r>
            <w:r>
              <w:rPr>
                <w:rFonts w:hint="eastAsia" w:ascii="宋体" w:hAnsi="宋体"/>
                <w:spacing w:val="20"/>
                <w:sz w:val="24"/>
                <w:szCs w:val="24"/>
                <w:lang w:eastAsia="zh-CN"/>
              </w:rPr>
              <w:t>（</w:t>
            </w:r>
            <w:r>
              <w:rPr>
                <w:rFonts w:hint="eastAsia" w:ascii="宋体" w:hAnsi="宋体"/>
                <w:spacing w:val="20"/>
                <w:sz w:val="24"/>
                <w:szCs w:val="24"/>
                <w:lang w:val="en-US" w:eastAsia="zh-CN"/>
              </w:rPr>
              <w:t>发票号码24154520：176493.66元、发票号码24156810：136858.96元）,均为江苏增值税专用发票。</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rPr>
              <w:t>又抽2</w:t>
            </w:r>
            <w:r>
              <w:rPr>
                <w:rFonts w:ascii="宋体" w:hAnsi="宋体"/>
                <w:spacing w:val="20"/>
                <w:sz w:val="24"/>
                <w:szCs w:val="24"/>
              </w:rPr>
              <w:t>021</w:t>
            </w:r>
            <w:r>
              <w:rPr>
                <w:rFonts w:hint="eastAsia" w:ascii="宋体" w:hAnsi="宋体"/>
                <w:spacing w:val="20"/>
                <w:sz w:val="24"/>
                <w:szCs w:val="24"/>
              </w:rPr>
              <w:t>年</w:t>
            </w:r>
            <w:r>
              <w:rPr>
                <w:rFonts w:hint="eastAsia" w:ascii="宋体" w:hAnsi="宋体"/>
                <w:spacing w:val="20"/>
                <w:sz w:val="24"/>
                <w:szCs w:val="24"/>
                <w:lang w:val="en-US" w:eastAsia="zh-CN"/>
              </w:rPr>
              <w:t>1</w:t>
            </w:r>
            <w:r>
              <w:rPr>
                <w:rFonts w:hint="eastAsia" w:ascii="宋体" w:hAnsi="宋体"/>
                <w:spacing w:val="20"/>
                <w:sz w:val="24"/>
                <w:szCs w:val="24"/>
              </w:rPr>
              <w:t>月</w:t>
            </w:r>
            <w:r>
              <w:rPr>
                <w:rFonts w:hint="eastAsia" w:ascii="宋体" w:hAnsi="宋体"/>
                <w:spacing w:val="20"/>
                <w:sz w:val="24"/>
                <w:szCs w:val="24"/>
                <w:lang w:val="en-US" w:eastAsia="zh-CN"/>
              </w:rPr>
              <w:t>至4</w:t>
            </w:r>
            <w:r>
              <w:rPr>
                <w:rFonts w:hint="eastAsia" w:ascii="宋体" w:hAnsi="宋体"/>
                <w:spacing w:val="20"/>
                <w:sz w:val="24"/>
                <w:szCs w:val="24"/>
              </w:rPr>
              <w:t>月支付</w:t>
            </w:r>
            <w:r>
              <w:rPr>
                <w:rFonts w:hint="eastAsia" w:ascii="宋体" w:hAnsi="宋体" w:cs="宋体"/>
                <w:sz w:val="24"/>
                <w:szCs w:val="24"/>
              </w:rPr>
              <w:t>杭州滨江水务有限公司</w:t>
            </w:r>
            <w:r>
              <w:rPr>
                <w:rFonts w:hint="eastAsia" w:ascii="宋体" w:hAnsi="宋体"/>
                <w:spacing w:val="20"/>
                <w:sz w:val="24"/>
                <w:szCs w:val="24"/>
              </w:rPr>
              <w:t>水费发票</w:t>
            </w:r>
            <w:r>
              <w:rPr>
                <w:rFonts w:hint="eastAsia" w:ascii="宋体" w:hAnsi="宋体"/>
                <w:spacing w:val="20"/>
                <w:sz w:val="24"/>
                <w:szCs w:val="24"/>
                <w:lang w:eastAsia="zh-CN"/>
              </w:rPr>
              <w:t>，</w:t>
            </w:r>
            <w:r>
              <w:rPr>
                <w:rFonts w:hint="eastAsia" w:ascii="宋体" w:hAnsi="宋体"/>
                <w:spacing w:val="20"/>
                <w:sz w:val="24"/>
                <w:szCs w:val="24"/>
                <w:lang w:val="en-US" w:eastAsia="zh-CN"/>
              </w:rPr>
              <w:t>均为江苏增值税专用发票。1月12780元、2月11127.12元、3月6330.36元、4月20049.75元。</w:t>
            </w:r>
          </w:p>
          <w:p>
            <w:pPr>
              <w:pStyle w:val="2"/>
              <w:ind w:left="0" w:leftChars="0" w:firstLine="0" w:firstLineChars="0"/>
              <w:rPr>
                <w:rFonts w:hint="default"/>
                <w:lang w:val="en-US" w:eastAsia="zh-CN"/>
              </w:rPr>
            </w:pPr>
            <w:r>
              <w:rPr>
                <w:rFonts w:hint="eastAsia" w:ascii="宋体" w:hAnsi="宋体"/>
                <w:spacing w:val="20"/>
                <w:sz w:val="24"/>
                <w:szCs w:val="24"/>
                <w:lang w:val="en-US" w:eastAsia="zh-CN"/>
              </w:rPr>
              <w:t>抽燃油2021年支付发票：共4张，票号和费用分别为：21249276，106750元；21249271，106750元；38022401，79200元；38022434，99000元。</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spacing w:val="20"/>
                <w:sz w:val="24"/>
                <w:szCs w:val="24"/>
                <w:lang w:val="en-US" w:eastAsia="zh-CN"/>
              </w:rPr>
            </w:pPr>
            <w:r>
              <w:rPr>
                <w:rFonts w:hint="eastAsia" w:ascii="宋体" w:hAnsi="宋体"/>
                <w:spacing w:val="20"/>
                <w:sz w:val="24"/>
                <w:szCs w:val="24"/>
              </w:rPr>
              <w:t>查公司</w:t>
            </w:r>
            <w:r>
              <w:rPr>
                <w:rFonts w:hint="eastAsia" w:ascii="宋体" w:hAnsi="宋体"/>
                <w:spacing w:val="20"/>
                <w:sz w:val="24"/>
                <w:szCs w:val="24"/>
                <w:lang w:val="en-US" w:eastAsia="zh-CN"/>
              </w:rPr>
              <w:t>今年投入使用的节能设备，2020年签订合同并支付费用</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default" w:ascii="宋体" w:hAnsi="宋体"/>
                <w:spacing w:val="20"/>
                <w:sz w:val="24"/>
                <w:szCs w:val="24"/>
                <w:lang w:val="en-US" w:eastAsia="zh-CN"/>
              </w:rPr>
            </w:pPr>
            <w:r>
              <w:rPr>
                <w:rFonts w:hint="eastAsia" w:ascii="宋体" w:hAnsi="宋体"/>
                <w:spacing w:val="20"/>
                <w:sz w:val="24"/>
                <w:szCs w:val="24"/>
              </w:rPr>
              <w:t>2</w:t>
            </w:r>
            <w:r>
              <w:rPr>
                <w:rFonts w:ascii="宋体" w:hAnsi="宋体"/>
                <w:spacing w:val="20"/>
                <w:sz w:val="24"/>
                <w:szCs w:val="24"/>
              </w:rPr>
              <w:t>02</w:t>
            </w:r>
            <w:r>
              <w:rPr>
                <w:rFonts w:hint="eastAsia" w:ascii="宋体" w:hAnsi="宋体"/>
                <w:spacing w:val="20"/>
                <w:sz w:val="24"/>
                <w:szCs w:val="24"/>
                <w:lang w:val="en-US" w:eastAsia="zh-CN"/>
              </w:rPr>
              <w:t>0</w:t>
            </w:r>
            <w:r>
              <w:rPr>
                <w:rFonts w:hint="eastAsia" w:ascii="宋体" w:hAnsi="宋体"/>
                <w:spacing w:val="20"/>
                <w:sz w:val="24"/>
                <w:szCs w:val="24"/>
              </w:rPr>
              <w:t>年</w:t>
            </w:r>
            <w:r>
              <w:rPr>
                <w:rFonts w:hint="eastAsia" w:ascii="宋体" w:hAnsi="宋体"/>
                <w:spacing w:val="20"/>
                <w:sz w:val="24"/>
                <w:szCs w:val="24"/>
                <w:lang w:val="en-US" w:eastAsia="zh-CN"/>
              </w:rPr>
              <w:t>7月份全自动高速泡罩包装机(型号DPH-220CS)改造1台，支付82000元；江苏增值税专用发票号码40139090</w:t>
            </w:r>
          </w:p>
          <w:p>
            <w:pPr>
              <w:pStyle w:val="2"/>
              <w:ind w:left="0" w:leftChars="0" w:firstLine="0" w:firstLineChars="0"/>
              <w:rPr>
                <w:rFonts w:hint="eastAsia" w:ascii="宋体" w:hAnsi="宋体"/>
                <w:spacing w:val="20"/>
                <w:sz w:val="24"/>
                <w:szCs w:val="24"/>
                <w:lang w:val="en-US" w:eastAsia="zh-CN"/>
              </w:rPr>
            </w:pPr>
            <w:r>
              <w:rPr>
                <w:rFonts w:hint="eastAsia" w:ascii="宋体" w:hAnsi="宋体"/>
                <w:spacing w:val="20"/>
                <w:sz w:val="24"/>
                <w:szCs w:val="24"/>
              </w:rPr>
              <w:t>2</w:t>
            </w:r>
            <w:r>
              <w:rPr>
                <w:rFonts w:ascii="宋体" w:hAnsi="宋体"/>
                <w:spacing w:val="20"/>
                <w:sz w:val="24"/>
                <w:szCs w:val="24"/>
              </w:rPr>
              <w:t>02</w:t>
            </w:r>
            <w:r>
              <w:rPr>
                <w:rFonts w:hint="eastAsia" w:ascii="宋体" w:hAnsi="宋体"/>
                <w:spacing w:val="20"/>
                <w:sz w:val="24"/>
                <w:szCs w:val="24"/>
                <w:lang w:val="en-US" w:eastAsia="zh-CN"/>
              </w:rPr>
              <w:t>0</w:t>
            </w:r>
            <w:r>
              <w:rPr>
                <w:rFonts w:hint="eastAsia" w:ascii="宋体" w:hAnsi="宋体"/>
                <w:spacing w:val="20"/>
                <w:sz w:val="24"/>
                <w:szCs w:val="24"/>
              </w:rPr>
              <w:t>年</w:t>
            </w:r>
            <w:r>
              <w:rPr>
                <w:rFonts w:hint="eastAsia" w:ascii="宋体" w:hAnsi="宋体"/>
                <w:spacing w:val="20"/>
                <w:sz w:val="24"/>
                <w:szCs w:val="24"/>
                <w:lang w:val="en-US" w:eastAsia="zh-CN"/>
              </w:rPr>
              <w:t>11月份高效包衣机(型号BGB-150D)1台，支付500000元；江苏增值税专用发票号码21798674。</w:t>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hint="eastAsia" w:ascii="宋体" w:hAnsi="宋体" w:eastAsia="宋体" w:cs="Times New Roman"/>
                <w:spacing w:val="20"/>
                <w:kern w:val="2"/>
                <w:sz w:val="24"/>
                <w:szCs w:val="24"/>
                <w:lang w:val="en-US" w:eastAsia="zh-CN" w:bidi="ar-SA"/>
              </w:rPr>
            </w:pPr>
            <w:r>
              <w:rPr>
                <w:rFonts w:hint="eastAsia" w:ascii="宋体" w:hAnsi="宋体" w:eastAsia="宋体" w:cs="Times New Roman"/>
                <w:spacing w:val="20"/>
                <w:kern w:val="2"/>
                <w:sz w:val="24"/>
                <w:szCs w:val="24"/>
                <w:lang w:val="en-US" w:eastAsia="zh-CN" w:bidi="ar-SA"/>
              </w:rPr>
              <w:t>2021年进行技术改造项目表</w:t>
            </w:r>
          </w:p>
          <w:p>
            <w:pPr>
              <w:pStyle w:val="2"/>
              <w:rPr>
                <w:rFonts w:hint="default"/>
                <w:lang w:val="en-US" w:eastAsia="zh-CN"/>
              </w:rPr>
            </w:pPr>
            <w:r>
              <w:rPr>
                <w:rFonts w:hint="default"/>
                <w:lang w:val="en-US" w:eastAsia="zh-CN"/>
              </w:rPr>
              <w:drawing>
                <wp:inline distT="0" distB="0" distL="114300" distR="114300">
                  <wp:extent cx="5560695" cy="1955800"/>
                  <wp:effectExtent l="0" t="0" r="1905" b="0"/>
                  <wp:docPr id="10" name="图片 10" descr="244f2c16eddd2d0e0fb3d50eb5ca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4f2c16eddd2d0e0fb3d50eb5ca5ef"/>
                          <pic:cNvPicPr>
                            <a:picLocks noChangeAspect="1"/>
                          </pic:cNvPicPr>
                        </pic:nvPicPr>
                        <pic:blipFill>
                          <a:blip r:embed="rId16"/>
                          <a:stretch>
                            <a:fillRect/>
                          </a:stretch>
                        </pic:blipFill>
                        <pic:spPr>
                          <a:xfrm>
                            <a:off x="0" y="0"/>
                            <a:ext cx="5560695" cy="1955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center"/>
              <w:rPr>
                <w:rFonts w:ascii="宋体" w:hAnsi="宋体"/>
                <w:color w:val="auto"/>
                <w:spacing w:val="20"/>
                <w:sz w:val="24"/>
                <w:szCs w:val="24"/>
              </w:rPr>
            </w:pPr>
            <w:r>
              <w:rPr>
                <w:rFonts w:hint="eastAsia" w:ascii="宋体" w:hAnsi="宋体"/>
                <w:color w:val="auto"/>
                <w:spacing w:val="20"/>
                <w:sz w:val="24"/>
                <w:szCs w:val="24"/>
                <w:lang w:val="en-US" w:eastAsia="zh-CN"/>
              </w:rPr>
              <w:t>由上可知，公司能源购置、节能技改资金满足要求。</w:t>
            </w:r>
          </w:p>
          <w:p>
            <w:pPr>
              <w:keepNext w:val="0"/>
              <w:keepLines w:val="0"/>
              <w:pageBreakBefore w:val="0"/>
              <w:kinsoku/>
              <w:wordWrap/>
              <w:overflowPunct/>
              <w:topLinePunct w:val="0"/>
              <w:autoSpaceDE/>
              <w:autoSpaceDN/>
              <w:bidi w:val="0"/>
              <w:adjustRightInd/>
              <w:snapToGrid/>
              <w:spacing w:before="157" w:beforeLines="50" w:line="360" w:lineRule="auto"/>
              <w:rPr>
                <w:rFonts w:asciiTheme="minorEastAsia" w:hAnsiTheme="minorEastAsia" w:eastAsiaTheme="minorEastAsia"/>
                <w:sz w:val="24"/>
              </w:rPr>
            </w:pPr>
            <w:r>
              <w:rPr>
                <w:rFonts w:hint="eastAsia" w:cs="Arial" w:asciiTheme="minorEastAsia" w:hAnsiTheme="minorEastAsia" w:eastAsiaTheme="minorEastAsia"/>
                <w:bCs/>
                <w:kern w:val="0"/>
                <w:sz w:val="24"/>
                <w:szCs w:val="24"/>
              </w:rPr>
              <w:t>本部门要求办公室员工</w:t>
            </w:r>
            <w:r>
              <w:rPr>
                <w:rFonts w:hint="eastAsia" w:asciiTheme="minorEastAsia" w:hAnsiTheme="minorEastAsia" w:eastAsiaTheme="minorEastAsia"/>
                <w:sz w:val="24"/>
              </w:rPr>
              <w:t>照明灯不用时及时将电源关闭， 电脑不使用时及时将电源关闭，电脑设置休眠功能， 夏天空调设置26</w:t>
            </w: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以上。</w:t>
            </w:r>
          </w:p>
          <w:p>
            <w:pPr>
              <w:keepNext w:val="0"/>
              <w:keepLines w:val="0"/>
              <w:pageBreakBefore w:val="0"/>
              <w:kinsoku/>
              <w:wordWrap/>
              <w:overflowPunct/>
              <w:topLinePunct w:val="0"/>
              <w:autoSpaceDE/>
              <w:autoSpaceDN/>
              <w:bidi w:val="0"/>
              <w:adjustRightInd/>
              <w:snapToGrid/>
              <w:spacing w:before="157" w:beforeLines="50" w:line="360" w:lineRule="auto"/>
              <w:rPr>
                <w:rFonts w:hint="eastAsia" w:ascii="Times New Roman" w:hAnsi="Times New Roman" w:eastAsia="宋体" w:cs="Times New Roman"/>
                <w:sz w:val="24"/>
                <w:szCs w:val="24"/>
              </w:rPr>
            </w:pPr>
            <w:r>
              <w:rPr>
                <w:rFonts w:hint="eastAsia" w:asciiTheme="minorEastAsia" w:hAnsiTheme="minorEastAsia" w:eastAsiaTheme="minorEastAsia"/>
                <w:sz w:val="24"/>
              </w:rPr>
              <w:t>办公区域现场张贴节约用电和节约用水的宣传标识。能够做到人走灯息、空调在26</w:t>
            </w: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以上，</w:t>
            </w:r>
            <w:r>
              <w:rPr>
                <w:rFonts w:hint="eastAsia" w:asciiTheme="minorEastAsia" w:hAnsiTheme="minorEastAsia" w:eastAsiaTheme="minorEastAsia"/>
                <w:sz w:val="24"/>
                <w:lang w:val="en-US" w:eastAsia="zh-CN"/>
              </w:rPr>
              <w:t>未</w:t>
            </w:r>
            <w:r>
              <w:rPr>
                <w:rFonts w:hint="eastAsia" w:asciiTheme="minorEastAsia" w:hAnsiTheme="minorEastAsia" w:eastAsiaTheme="minorEastAsia"/>
                <w:sz w:val="24"/>
              </w:rPr>
              <w:t>发现长明灯、长流水现象。</w:t>
            </w:r>
          </w:p>
        </w:tc>
        <w:tc>
          <w:tcPr>
            <w:tcW w:w="1417"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宋体" w:hAnsi="宋体"/>
                <w:sz w:val="24"/>
                <w:szCs w:val="24"/>
              </w:rPr>
            </w:pPr>
            <w:r>
              <w:rPr>
                <w:rFonts w:hint="eastAsia" w:ascii="宋体" w:hAnsi="宋体"/>
                <w:sz w:val="24"/>
                <w:szCs w:val="24"/>
              </w:rPr>
              <w:t>不符合与纠正措施</w:t>
            </w:r>
          </w:p>
          <w:p>
            <w:pPr>
              <w:rPr>
                <w:rFonts w:hint="eastAsia" w:ascii="Times New Roman" w:hAnsi="Times New Roman" w:eastAsia="宋体" w:cs="Times New Roman"/>
                <w:sz w:val="24"/>
                <w:szCs w:val="24"/>
              </w:rPr>
            </w:pPr>
          </w:p>
        </w:tc>
        <w:tc>
          <w:tcPr>
            <w:tcW w:w="960"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En10.1</w:t>
            </w:r>
          </w:p>
        </w:tc>
        <w:tc>
          <w:tcPr>
            <w:tcW w:w="11022" w:type="dxa"/>
            <w:vAlign w:val="center"/>
          </w:tcPr>
          <w:p>
            <w:pPr>
              <w:rPr>
                <w:rFonts w:hint="default" w:ascii="Times New Roman" w:hAnsi="Times New Roman" w:eastAsia="宋体" w:cs="Times New Roman"/>
                <w:sz w:val="24"/>
                <w:szCs w:val="24"/>
                <w:lang w:val="en-US" w:eastAsia="zh-CN"/>
              </w:rPr>
            </w:pPr>
            <w:r>
              <w:rPr>
                <w:rFonts w:hint="eastAsia" w:ascii="宋体" w:hAnsi="宋体" w:cs="Arial"/>
                <w:bCs/>
                <w:kern w:val="0"/>
                <w:sz w:val="24"/>
                <w:szCs w:val="24"/>
              </w:rPr>
              <w:t>自公司能源管理体系运行以来，本部门未发生不符合。</w:t>
            </w:r>
            <w:r>
              <w:rPr>
                <w:rFonts w:hint="eastAsia" w:ascii="宋体" w:hAnsi="宋体" w:cs="Arial"/>
                <w:bCs/>
                <w:kern w:val="0"/>
                <w:sz w:val="24"/>
                <w:szCs w:val="24"/>
                <w:lang w:val="en-US" w:eastAsia="zh-CN"/>
              </w:rPr>
              <w:t>但现场审核认为该部门的持续改进能力可满足要求。</w:t>
            </w:r>
          </w:p>
        </w:tc>
        <w:tc>
          <w:tcPr>
            <w:tcW w:w="1417" w:type="dxa"/>
          </w:tcPr>
          <w:p>
            <w:pPr>
              <w:rPr>
                <w:rFonts w:hint="eastAsia" w:eastAsia="宋体"/>
                <w:lang w:val="en-US" w:eastAsia="zh-CN"/>
              </w:rPr>
            </w:pPr>
            <w:r>
              <w:rPr>
                <w:rFonts w:hint="eastAsia"/>
                <w:lang w:val="en-US" w:eastAsia="zh-CN"/>
              </w:rPr>
              <w:t>y</w:t>
            </w:r>
          </w:p>
        </w:tc>
      </w:tr>
    </w:tbl>
    <w:p>
      <w:pPr>
        <w:rPr>
          <w:rFonts w:hint="default" w:eastAsia="宋体"/>
          <w:lang w:val="en-US" w:eastAsia="zh-CN"/>
        </w:rPr>
      </w:pPr>
      <w:r>
        <w:rPr>
          <w:rFonts w:hint="eastAsia"/>
        </w:rPr>
        <w:t>说明：不符合标注N</w:t>
      </w:r>
      <w:r>
        <w:t xml:space="preserve">                                                     </w:t>
      </w:r>
    </w:p>
    <w:p>
      <w:pPr>
        <w:pStyle w:val="2"/>
        <w:rPr>
          <w:rFonts w:hint="eastAsia"/>
        </w:rPr>
      </w:pP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720" w:right="720" w:bottom="720" w:left="720" w:header="340" w:footer="28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eastAsia="宋体"/>
        <w:lang w:val="en-US" w:eastAsia="zh-CN"/>
      </w:rPr>
    </w:pPr>
    <w:sdt>
      <w:sdtPr>
        <w:id w:val="724900"/>
        <w:docPartObj>
          <w:docPartGallery w:val="autotext"/>
        </w:docPartObj>
      </w:sdtPr>
      <w:sdtContent>
        <w:sdt>
          <w:sdtPr>
            <w:id w:val="171357217"/>
            <w:docPartObj>
              <w:docPartGallery w:val="autotext"/>
            </w:docPartObj>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20" w:firstLineChars="400"/>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wps:txbx>
                    <wps:bodyPr rot="0" vert="horz" wrap="square" lIns="91440" tIns="45720" rIns="91440" bIns="45720" anchor="t" anchorCtr="0" upright="1">
                      <a:noAutofit/>
                    </wps:bodyPr>
                  </wps:wsp>
                </a:graphicData>
              </a:graphic>
            </wp:anchor>
          </w:drawing>
        </mc:Choice>
        <mc:Fallback>
          <w:pict>
            <v:shape id="Text Box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Bqrl1gAAAAoBAAAP&#10;AAAAAAAAAAEAIAAAACIAAABkcnMvZG93bnJldi54bWxQSwECFAAUAAAACACHTuJADmRpthoCAAA9&#10;BAAADgAAAAAAAAABACAAAAAlAQAAZHJzL2Uyb0RvYy54bWxQSwUGAAAAAAYABgBZAQAAsQ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v:textbox>
            </v:shape>
          </w:pict>
        </mc:Fallback>
      </mc:AlternateContent>
    </w:r>
    <w:r>
      <w:rPr>
        <w:rStyle w:val="14"/>
        <w:rFonts w:hint="default"/>
        <w:w w:val="90"/>
      </w:rPr>
      <w:t>Beijing International Standard united Certification Co.,Ltd.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214AA"/>
    <w:multiLevelType w:val="multilevel"/>
    <w:tmpl w:val="41F214AA"/>
    <w:lvl w:ilvl="0" w:tentative="0">
      <w:start w:val="1"/>
      <w:numFmt w:val="decimal"/>
      <w:lvlText w:val="%1）"/>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
    <w:nsid w:val="682E163F"/>
    <w:multiLevelType w:val="singleLevel"/>
    <w:tmpl w:val="682E163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B3"/>
    <w:rsid w:val="00060259"/>
    <w:rsid w:val="000961ED"/>
    <w:rsid w:val="000C69B4"/>
    <w:rsid w:val="000D7932"/>
    <w:rsid w:val="000F15D3"/>
    <w:rsid w:val="001524B0"/>
    <w:rsid w:val="00154D1B"/>
    <w:rsid w:val="001A0592"/>
    <w:rsid w:val="001C2406"/>
    <w:rsid w:val="001D7A40"/>
    <w:rsid w:val="001F1A52"/>
    <w:rsid w:val="001F6C1D"/>
    <w:rsid w:val="001F7C6A"/>
    <w:rsid w:val="00220E6E"/>
    <w:rsid w:val="00264E48"/>
    <w:rsid w:val="002840A0"/>
    <w:rsid w:val="00286369"/>
    <w:rsid w:val="00293EF2"/>
    <w:rsid w:val="002A2CA6"/>
    <w:rsid w:val="002C2E14"/>
    <w:rsid w:val="002E77C3"/>
    <w:rsid w:val="002F4627"/>
    <w:rsid w:val="0034333F"/>
    <w:rsid w:val="00376228"/>
    <w:rsid w:val="003950F9"/>
    <w:rsid w:val="003C05B9"/>
    <w:rsid w:val="003C657B"/>
    <w:rsid w:val="003D49D2"/>
    <w:rsid w:val="003E02E4"/>
    <w:rsid w:val="00443931"/>
    <w:rsid w:val="004811B3"/>
    <w:rsid w:val="00491D7D"/>
    <w:rsid w:val="004B6900"/>
    <w:rsid w:val="00524D1D"/>
    <w:rsid w:val="00570C64"/>
    <w:rsid w:val="00584EE1"/>
    <w:rsid w:val="005C6760"/>
    <w:rsid w:val="0060606F"/>
    <w:rsid w:val="00607184"/>
    <w:rsid w:val="006309E2"/>
    <w:rsid w:val="00633312"/>
    <w:rsid w:val="006569BF"/>
    <w:rsid w:val="006620BC"/>
    <w:rsid w:val="00666B86"/>
    <w:rsid w:val="00681AC6"/>
    <w:rsid w:val="006B0B5F"/>
    <w:rsid w:val="006B7ABE"/>
    <w:rsid w:val="006C0CDD"/>
    <w:rsid w:val="006C3980"/>
    <w:rsid w:val="006C4EB5"/>
    <w:rsid w:val="006E32AF"/>
    <w:rsid w:val="006F70C7"/>
    <w:rsid w:val="007140B4"/>
    <w:rsid w:val="007534C7"/>
    <w:rsid w:val="00754AAA"/>
    <w:rsid w:val="00760F3D"/>
    <w:rsid w:val="0077434C"/>
    <w:rsid w:val="007755B3"/>
    <w:rsid w:val="00790B53"/>
    <w:rsid w:val="00791B09"/>
    <w:rsid w:val="007A6B34"/>
    <w:rsid w:val="007D5478"/>
    <w:rsid w:val="0080115B"/>
    <w:rsid w:val="00850EF8"/>
    <w:rsid w:val="00870C84"/>
    <w:rsid w:val="0088507B"/>
    <w:rsid w:val="008A5574"/>
    <w:rsid w:val="008B6C40"/>
    <w:rsid w:val="008C694B"/>
    <w:rsid w:val="00912A41"/>
    <w:rsid w:val="009223F7"/>
    <w:rsid w:val="00962BD0"/>
    <w:rsid w:val="00962E35"/>
    <w:rsid w:val="00982021"/>
    <w:rsid w:val="009B1932"/>
    <w:rsid w:val="009D4525"/>
    <w:rsid w:val="009E3450"/>
    <w:rsid w:val="00A34440"/>
    <w:rsid w:val="00A34934"/>
    <w:rsid w:val="00A75CF7"/>
    <w:rsid w:val="00A971BF"/>
    <w:rsid w:val="00AB351F"/>
    <w:rsid w:val="00AB5DCE"/>
    <w:rsid w:val="00AC68D8"/>
    <w:rsid w:val="00AD3680"/>
    <w:rsid w:val="00AE0BD1"/>
    <w:rsid w:val="00B1408D"/>
    <w:rsid w:val="00B45625"/>
    <w:rsid w:val="00B6151E"/>
    <w:rsid w:val="00B87D66"/>
    <w:rsid w:val="00BA6CA9"/>
    <w:rsid w:val="00BB2D15"/>
    <w:rsid w:val="00BC7A76"/>
    <w:rsid w:val="00C351A7"/>
    <w:rsid w:val="00C539A8"/>
    <w:rsid w:val="00C558E9"/>
    <w:rsid w:val="00C8336D"/>
    <w:rsid w:val="00C8449C"/>
    <w:rsid w:val="00CA22EA"/>
    <w:rsid w:val="00CB5A1B"/>
    <w:rsid w:val="00CC16A4"/>
    <w:rsid w:val="00CC1F48"/>
    <w:rsid w:val="00CD5B4B"/>
    <w:rsid w:val="00CF03DF"/>
    <w:rsid w:val="00CF1E5A"/>
    <w:rsid w:val="00D376CC"/>
    <w:rsid w:val="00DC17B0"/>
    <w:rsid w:val="00DD1268"/>
    <w:rsid w:val="00EE6F63"/>
    <w:rsid w:val="00F4438F"/>
    <w:rsid w:val="00FA5EED"/>
    <w:rsid w:val="00FC7677"/>
    <w:rsid w:val="00FE70DA"/>
    <w:rsid w:val="015E66FD"/>
    <w:rsid w:val="02EA70F7"/>
    <w:rsid w:val="03555EE0"/>
    <w:rsid w:val="06667B70"/>
    <w:rsid w:val="0D8B0C23"/>
    <w:rsid w:val="10DA7CAB"/>
    <w:rsid w:val="14315671"/>
    <w:rsid w:val="1E303C9C"/>
    <w:rsid w:val="23782427"/>
    <w:rsid w:val="247C1A9B"/>
    <w:rsid w:val="24845B83"/>
    <w:rsid w:val="28FF26D2"/>
    <w:rsid w:val="2A8427A3"/>
    <w:rsid w:val="347E123C"/>
    <w:rsid w:val="35E75D82"/>
    <w:rsid w:val="39EB137D"/>
    <w:rsid w:val="418F426B"/>
    <w:rsid w:val="464D7937"/>
    <w:rsid w:val="4A060F5D"/>
    <w:rsid w:val="4EC925EE"/>
    <w:rsid w:val="4FCC6C85"/>
    <w:rsid w:val="57D828FA"/>
    <w:rsid w:val="5B7E6038"/>
    <w:rsid w:val="601F0929"/>
    <w:rsid w:val="67A30EC5"/>
    <w:rsid w:val="6F8865E2"/>
    <w:rsid w:val="709C0D6D"/>
    <w:rsid w:val="71FA285F"/>
    <w:rsid w:val="787870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1"/>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7"/>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3">
    <w:name w:val="Body Text"/>
    <w:basedOn w:val="1"/>
    <w:link w:val="15"/>
    <w:qFormat/>
    <w:uiPriority w:val="1"/>
    <w:pPr>
      <w:autoSpaceDE w:val="0"/>
      <w:autoSpaceDN w:val="0"/>
      <w:spacing w:before="92"/>
      <w:ind w:left="980" w:firstLine="480"/>
      <w:jc w:val="left"/>
    </w:pPr>
    <w:rPr>
      <w:rFonts w:ascii="宋体" w:hAnsi="宋体" w:cs="宋体"/>
      <w:kern w:val="0"/>
      <w:sz w:val="24"/>
      <w:szCs w:val="24"/>
      <w:lang w:val="zh-CN" w:bidi="zh-CN"/>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qFormat/>
    <w:uiPriority w:val="0"/>
    <w:pPr>
      <w:widowControl w:val="0"/>
      <w:spacing w:before="240" w:after="60"/>
      <w:jc w:val="center"/>
      <w:outlineLvl w:val="0"/>
    </w:pPr>
    <w:rPr>
      <w:rFonts w:ascii="Cambria" w:hAnsi="Cambria"/>
      <w:b/>
      <w:bCs/>
      <w:kern w:val="2"/>
      <w:sz w:val="32"/>
      <w:szCs w:val="32"/>
    </w:r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正文文本 字符"/>
    <w:basedOn w:val="10"/>
    <w:link w:val="3"/>
    <w:qFormat/>
    <w:uiPriority w:val="1"/>
    <w:rPr>
      <w:rFonts w:ascii="宋体" w:hAnsi="宋体" w:eastAsia="宋体" w:cs="宋体"/>
      <w:sz w:val="24"/>
      <w:szCs w:val="24"/>
      <w:lang w:val="zh-CN" w:bidi="zh-CN"/>
    </w:rPr>
  </w:style>
  <w:style w:type="paragraph" w:styleId="16">
    <w:name w:val="List Paragraph"/>
    <w:basedOn w:val="1"/>
    <w:qFormat/>
    <w:uiPriority w:val="1"/>
    <w:pPr>
      <w:autoSpaceDE w:val="0"/>
      <w:autoSpaceDN w:val="0"/>
      <w:spacing w:before="92"/>
      <w:ind w:left="980" w:hanging="601"/>
      <w:jc w:val="left"/>
    </w:pPr>
    <w:rPr>
      <w:rFonts w:ascii="宋体" w:hAnsi="宋体" w:cs="宋体"/>
      <w:kern w:val="0"/>
      <w:sz w:val="22"/>
      <w:szCs w:val="22"/>
      <w:lang w:val="zh-CN" w:bidi="zh-CN"/>
    </w:rPr>
  </w:style>
  <w:style w:type="character" w:customStyle="1" w:styleId="17">
    <w:name w:val="正文文本首行缩进 字符"/>
    <w:basedOn w:val="15"/>
    <w:link w:val="2"/>
    <w:semiHidden/>
    <w:qFormat/>
    <w:uiPriority w:val="99"/>
    <w:rPr>
      <w:rFonts w:ascii="Times New Roman" w:hAnsi="Times New Roman" w:eastAsia="宋体" w:cs="Times New Roman"/>
      <w:kern w:val="2"/>
      <w:sz w:val="21"/>
      <w:szCs w:val="24"/>
      <w:lang w:val="zh-CN" w:bidi="zh-CN"/>
    </w:rPr>
  </w:style>
  <w:style w:type="character" w:customStyle="1" w:styleId="18">
    <w:name w:val="fontstyle01"/>
    <w:basedOn w:val="10"/>
    <w:qFormat/>
    <w:uiPriority w:val="0"/>
    <w:rPr>
      <w:rFonts w:hint="eastAsia" w:ascii="宋体" w:hAnsi="宋体" w:eastAsia="宋体"/>
      <w:color w:val="000000"/>
      <w:sz w:val="28"/>
      <w:szCs w:val="28"/>
    </w:rPr>
  </w:style>
  <w:style w:type="character" w:customStyle="1" w:styleId="19">
    <w:name w:val="fontstyle21"/>
    <w:basedOn w:val="10"/>
    <w:qFormat/>
    <w:uiPriority w:val="0"/>
    <w:rPr>
      <w:rFonts w:hint="default" w:ascii="TimesNewRomanPSMT" w:hAnsi="TimesNewRomanPSMT"/>
      <w:color w:val="000000"/>
      <w:sz w:val="28"/>
      <w:szCs w:val="28"/>
    </w:rPr>
  </w:style>
  <w:style w:type="paragraph" w:customStyle="1" w:styleId="20">
    <w:name w:val="正文1"/>
    <w:basedOn w:val="1"/>
    <w:qFormat/>
    <w:uiPriority w:val="0"/>
    <w:pPr>
      <w:widowControl/>
      <w:overflowPunct w:val="0"/>
      <w:autoSpaceDE w:val="0"/>
      <w:autoSpaceDN w:val="0"/>
      <w:adjustRightInd w:val="0"/>
      <w:textAlignment w:val="baseline"/>
    </w:pPr>
    <w:rPr>
      <w:rFonts w:ascii="宋体"/>
      <w:kern w:val="0"/>
      <w:szCs w:val="20"/>
    </w:rPr>
  </w:style>
  <w:style w:type="character" w:customStyle="1" w:styleId="21">
    <w:name w:val="标题 1 Char"/>
    <w:link w:val="4"/>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41B16B-6235-4D5A-A11A-A5776FB881AF}">
  <ds:schemaRefs/>
</ds:datastoreItem>
</file>

<file path=docProps/app.xml><?xml version="1.0" encoding="utf-8"?>
<Properties xmlns="http://schemas.openxmlformats.org/officeDocument/2006/extended-properties" xmlns:vt="http://schemas.openxmlformats.org/officeDocument/2006/docPropsVTypes">
  <Template>Normal</Template>
  <Pages>8</Pages>
  <Words>715</Words>
  <Characters>4077</Characters>
  <Lines>33</Lines>
  <Paragraphs>9</Paragraphs>
  <TotalTime>8</TotalTime>
  <ScaleCrop>false</ScaleCrop>
  <LinksUpToDate>false</LinksUpToDate>
  <CharactersWithSpaces>4783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2021-07-14T06:02:26Z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C430DA7B41E344EAA23798A6571856B4</vt:lpwstr>
  </property>
</Properties>
</file>