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管理层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徐秀卉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钱红娣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周涛、王杰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2021.7.9-2021.7.10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>91330108716159914E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>200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>-03-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09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 至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2025-03-26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制造：胶囊剂、片剂（含激素类）、颗粒剂、散剂：（试点改后置，凭许可证经营）（涉及前置审批项目的在有效期内方可经营）。 货物进出口（法律、行政法规禁止的项目除外、法律、行政法规限制经营的项目取得许可证后方可经营）；其他无需报经审批的一切合法项目**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bookmarkStart w:id="0" w:name="审核范围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片剂（含激素类）、胶囊剂、颗粒剂和散剂的设计开发和生产相关的能源管理活动</w:t>
            </w:r>
            <w:bookmarkEnd w:id="0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药品生产</w:t>
            </w:r>
            <w:r>
              <w:rPr>
                <w:rFonts w:hint="eastAsia"/>
                <w:b/>
                <w:bCs/>
                <w:color w:val="auto"/>
                <w:szCs w:val="21"/>
              </w:rPr>
              <w:t>许可证》</w:t>
            </w:r>
            <w:r>
              <w:rPr>
                <w:rFonts w:hint="eastAsia"/>
                <w:color w:val="auto"/>
                <w:szCs w:val="21"/>
              </w:rPr>
              <w:t>——：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□副本；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浙200000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27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有效期：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至2025年08月31日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胶囊剂、颗粒剂、散剂、片剂（含激素类）；受托生产企业：浙江康恩贝制药股份有限公司，浙江省兰溪市康恩贝大道1号，铝碳酸镁咀嚼片******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杭州市滨江区长河街道滨康路568号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杭州市滨江区长河街道滨康路568号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  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1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1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  <w:p>
            <w:pPr>
              <w:pStyle w:val="2"/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drawing>
                <wp:inline distT="0" distB="0" distL="114300" distR="114300">
                  <wp:extent cx="6118225" cy="1816100"/>
                  <wp:effectExtent l="0" t="0" r="3175" b="0"/>
                  <wp:docPr id="8" name="图片 8" descr="胶囊剂-盐酸坦索罗辛缓释胶囊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胶囊剂-盐酸坦索罗辛缓释胶囊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8225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  <w:rPr>
                <w:rFonts w:hint="default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4"/>
                <w:lang w:val="en-US" w:eastAsia="zh-CN" w:bidi="ar"/>
              </w:rPr>
              <w:drawing>
                <wp:inline distT="0" distB="0" distL="114300" distR="114300">
                  <wp:extent cx="6120130" cy="2317750"/>
                  <wp:effectExtent l="0" t="0" r="1270" b="6350"/>
                  <wp:docPr id="7" name="图片 7" descr="胶囊剂-格列吡嗪缓释胶囊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胶囊剂-格列吡嗪缓释胶囊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231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drawing>
                <wp:inline distT="0" distB="0" distL="114300" distR="114300">
                  <wp:extent cx="6114415" cy="1694815"/>
                  <wp:effectExtent l="0" t="0" r="6985" b="6985"/>
                  <wp:docPr id="9" name="图片 9" descr="胶囊剂-银杏叶胶囊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胶囊剂-银杏叶胶囊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4415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drawing>
                <wp:inline distT="0" distB="0" distL="114300" distR="114300">
                  <wp:extent cx="6120130" cy="1887855"/>
                  <wp:effectExtent l="0" t="0" r="1270" b="4445"/>
                  <wp:docPr id="10" name="图片 10" descr="颗粒剂-氟康唑颗粒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颗粒剂-氟康唑颗粒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88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drawing>
                <wp:inline distT="0" distB="0" distL="114300" distR="114300">
                  <wp:extent cx="6118225" cy="1897380"/>
                  <wp:effectExtent l="0" t="0" r="3175" b="7620"/>
                  <wp:docPr id="11" name="图片 11" descr="片剂-非那雄胺片（5mg）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片剂-非那雄胺片（5mg）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8225" cy="189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  <w:rPr>
                <w:rFonts w:hint="default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仿宋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drawing>
                <wp:inline distT="0" distB="0" distL="114300" distR="114300">
                  <wp:extent cx="6120130" cy="2028825"/>
                  <wp:effectExtent l="0" t="0" r="1270" b="3175"/>
                  <wp:docPr id="12" name="图片 12" descr="散剂-蒙脱石散工艺流程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散剂-蒙脱石散工艺流程图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72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管理人员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人；操作人员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58</w:t>
            </w:r>
            <w:r>
              <w:rPr>
                <w:rFonts w:hint="eastAsia"/>
                <w:color w:val="000000"/>
                <w:szCs w:val="21"/>
              </w:rPr>
              <w:t>人；劳务派遣人员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人；临时工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人；季节工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人；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u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确定外部提供过程、产品和服务（外包过程）：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非那雄胺、甲钴胺、聚维酮K30、滑石粉、蒙脱石、药用薄膜包衣预混辅料；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435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严格贯彻节能法律法规，履行节能降耗相关要求；提供资源促进节能进步，持续改进能源管理绩效；形成节能降耗长效机制，构建节约环保绿色企业</w:t>
            </w:r>
            <w:r>
              <w:rPr>
                <w:color w:val="000000"/>
                <w:szCs w:val="18"/>
                <w:u w:val="single"/>
                <w:lang w:eastAsia="zh-CN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74"/>
              <w:gridCol w:w="1950"/>
              <w:gridCol w:w="2212"/>
              <w:gridCol w:w="31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7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目标</w:t>
                  </w:r>
                </w:p>
              </w:tc>
              <w:tc>
                <w:tcPr>
                  <w:tcW w:w="195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考核频次</w:t>
                  </w:r>
                </w:p>
              </w:tc>
              <w:tc>
                <w:tcPr>
                  <w:tcW w:w="221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计算方法</w:t>
                  </w:r>
                </w:p>
              </w:tc>
              <w:tc>
                <w:tcPr>
                  <w:tcW w:w="31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7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sz w:val="21"/>
                      <w:szCs w:val="21"/>
                      <w:lang w:val="en-US" w:eastAsia="zh-CN"/>
                    </w:rPr>
                    <w:t>7kgce/万片</w:t>
                  </w:r>
                </w:p>
              </w:tc>
              <w:tc>
                <w:tcPr>
                  <w:tcW w:w="195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  <w:t>每年考核一次</w:t>
                  </w:r>
                </w:p>
              </w:tc>
              <w:tc>
                <w:tcPr>
                  <w:tcW w:w="221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年</w:t>
                  </w: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耗能量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/年产量（</w:t>
                  </w: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台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）</w:t>
                  </w:r>
                </w:p>
              </w:tc>
              <w:tc>
                <w:tcPr>
                  <w:tcW w:w="3137" w:type="dxa"/>
                </w:tcPr>
                <w:p>
                  <w:pPr>
                    <w:pStyle w:val="2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6.55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kgce/万片</w:t>
                  </w:r>
                </w:p>
                <w:p>
                  <w:pPr>
                    <w:pStyle w:val="2"/>
                    <w:rPr>
                      <w:rFonts w:hint="default"/>
                      <w:color w:val="auto"/>
                      <w:lang w:val="en-US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  <w:t>完成目标，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Cs w:val="18"/>
                <w:u w:val="single"/>
                <w:lang w:val="en-US" w:eastAsia="zh-CN"/>
              </w:rPr>
              <w:t>652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2021年0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0日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8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</w:t>
            </w:r>
            <w:r>
              <w:rPr>
                <w:rFonts w:hint="eastAsia"/>
                <w:color w:val="FF0000"/>
                <w:szCs w:val="18"/>
              </w:rPr>
              <w:t>：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u w:val="single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。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节能评估报告》编号：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FF0000"/>
                <w:szCs w:val="18"/>
                <w:highlight w:val="none"/>
                <w:u w:val="singl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rFonts w:hint="default" w:eastAsia="宋体"/>
                <w:color w:val="FF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</w:t>
            </w:r>
            <w:r>
              <w:rPr>
                <w:rFonts w:hint="eastAsia"/>
                <w:highlight w:val="none"/>
                <w:lang w:val="en-US" w:eastAsia="zh-CN"/>
              </w:rPr>
              <w:t>评审</w:t>
            </w:r>
            <w:r>
              <w:rPr>
                <w:rFonts w:hint="eastAsia"/>
                <w:highlight w:val="none"/>
              </w:rPr>
              <w:t>报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告》编号：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KEBNYPS-2021-01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 xml:space="preserve"> 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2021年 5 月 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公司单位产品能耗逐年降低 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FF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近一年是否进行了技术改进？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未发生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发生过，说明</w:t>
            </w:r>
            <w:r>
              <w:rPr>
                <w:rFonts w:hint="eastAsia"/>
                <w:color w:val="auto"/>
                <w:szCs w:val="18"/>
              </w:rPr>
              <w:t>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val="en-US" w:eastAsia="zh-CN"/>
              </w:rPr>
              <w:t>-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bookmarkStart w:id="2" w:name="_GoBack"/>
            <w:bookmarkEnd w:id="2"/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运行效率：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用能单位            配备率 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  <w:r>
              <w:rPr>
                <w:rFonts w:hint="eastAsia"/>
                <w:color w:val="auto"/>
                <w:szCs w:val="18"/>
              </w:rPr>
              <w:t xml:space="preserve">    配备等级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</w:p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主要次级用能单位</w:t>
            </w:r>
            <w:r>
              <w:rPr>
                <w:rFonts w:hint="eastAsia"/>
                <w:color w:val="auto"/>
                <w:szCs w:val="18"/>
              </w:rPr>
              <w:t xml:space="preserve">    配备率 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  <w:r>
              <w:rPr>
                <w:rFonts w:hint="eastAsia"/>
                <w:color w:val="auto"/>
                <w:szCs w:val="18"/>
              </w:rPr>
              <w:t xml:space="preserve">    配备等级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</w:p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主要用能设备        配备率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  <w:r>
              <w:rPr>
                <w:rFonts w:hint="eastAsia"/>
                <w:color w:val="auto"/>
                <w:szCs w:val="18"/>
              </w:rPr>
              <w:t xml:space="preserve">    配备等级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符合</w:t>
            </w:r>
            <w:r>
              <w:rPr>
                <w:rFonts w:hint="eastAsia"/>
                <w:color w:val="auto"/>
                <w:szCs w:val="18"/>
              </w:rPr>
              <w:t xml:space="preserve">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color w:val="auto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制冷站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电表和水表由供应机构负责检定/校准。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61D3B47"/>
    <w:rsid w:val="07687D49"/>
    <w:rsid w:val="089D2465"/>
    <w:rsid w:val="093D63C6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0E7E91"/>
    <w:rsid w:val="131B209B"/>
    <w:rsid w:val="13890C34"/>
    <w:rsid w:val="13E82B63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380519"/>
    <w:rsid w:val="1C5A0E97"/>
    <w:rsid w:val="1C633876"/>
    <w:rsid w:val="1CB32766"/>
    <w:rsid w:val="1D811AD4"/>
    <w:rsid w:val="1F022080"/>
    <w:rsid w:val="1F4D1700"/>
    <w:rsid w:val="1F8B7D7A"/>
    <w:rsid w:val="1FA53B1A"/>
    <w:rsid w:val="205B068C"/>
    <w:rsid w:val="21016ED3"/>
    <w:rsid w:val="21517F70"/>
    <w:rsid w:val="217577AF"/>
    <w:rsid w:val="22401A05"/>
    <w:rsid w:val="22520753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CDF6E28"/>
    <w:rsid w:val="2DEB5B9F"/>
    <w:rsid w:val="2EE13094"/>
    <w:rsid w:val="2F2B229D"/>
    <w:rsid w:val="2F7D7BB3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9D74449"/>
    <w:rsid w:val="39E77006"/>
    <w:rsid w:val="3A242819"/>
    <w:rsid w:val="3AC608CB"/>
    <w:rsid w:val="3B7B49E9"/>
    <w:rsid w:val="3BBB3FFC"/>
    <w:rsid w:val="3BE22D59"/>
    <w:rsid w:val="3C4A64C8"/>
    <w:rsid w:val="3D095854"/>
    <w:rsid w:val="3D1E51E8"/>
    <w:rsid w:val="3D207B84"/>
    <w:rsid w:val="3D4A1740"/>
    <w:rsid w:val="3D662E26"/>
    <w:rsid w:val="3EBF4EFB"/>
    <w:rsid w:val="40A40502"/>
    <w:rsid w:val="40D80BB8"/>
    <w:rsid w:val="40D92CA7"/>
    <w:rsid w:val="413D1451"/>
    <w:rsid w:val="41886D64"/>
    <w:rsid w:val="428C0FDB"/>
    <w:rsid w:val="42D3718C"/>
    <w:rsid w:val="42E55256"/>
    <w:rsid w:val="433C48C1"/>
    <w:rsid w:val="44E8380F"/>
    <w:rsid w:val="44FC1CFD"/>
    <w:rsid w:val="458A3894"/>
    <w:rsid w:val="45E625F9"/>
    <w:rsid w:val="462C25D5"/>
    <w:rsid w:val="46F31DBC"/>
    <w:rsid w:val="478A2FD4"/>
    <w:rsid w:val="4A040AF9"/>
    <w:rsid w:val="4A474B11"/>
    <w:rsid w:val="4A817CA5"/>
    <w:rsid w:val="4A8B3C2A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BA497E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57E57"/>
    <w:rsid w:val="674646EF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6953E9"/>
    <w:rsid w:val="6C7B045A"/>
    <w:rsid w:val="6CAF4B0F"/>
    <w:rsid w:val="6CB05831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4234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7</TotalTime>
  <ScaleCrop>false</ScaleCrop>
  <LinksUpToDate>false</LinksUpToDate>
  <CharactersWithSpaces>18121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2021-07-12T23:11:45Z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F022D71CE2FB43DDAF701D8118C0D84B</vt:lpwstr>
  </property>
</Properties>
</file>