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8" w:name="_GoBack"/>
      <w:bookmarkEnd w:id="18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15"/>
        <w:gridCol w:w="194"/>
        <w:gridCol w:w="90"/>
        <w:gridCol w:w="690"/>
        <w:gridCol w:w="284"/>
        <w:gridCol w:w="436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396"/>
        <w:gridCol w:w="29"/>
        <w:gridCol w:w="1249"/>
        <w:gridCol w:w="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霸州市鑫智教学设备有限公司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河北省廊坊市霸州市煎茶铺镇中台山村北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杨合香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13932647773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947281859@qq.com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杨合香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0124-2020-QEO-2021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Q：钢木家具（课桌凳、课桌椅、上下床、餐桌椅、排椅）的生产及销售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E：钢木家具（课桌凳、课桌椅、上下床、餐桌椅、排椅）的生产及销售所涉及的环境管理活动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O：钢木家具（课桌凳、课桌椅、上下床、餐桌椅、排椅）的生产及销售所涉及的职业健康安全管理活动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Q：23.01.01;23.01.04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E：23.01.01;23.01.04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O：23.01.01;23.01.04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2021年07月15日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2021年07月17日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3.0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0321" w:type="dxa"/>
            <w:gridSpan w:val="21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2020-N1QMS-2219448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2020-N1EMS-2219448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2020-N1OHSMS-2219448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Q:23.01.01,23.01.04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E:23.01.01,23.01.04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O:23.01.01,23.01.04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2020-N1QMS-1263375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2020-N1EMS-1263375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321" w:type="dxa"/>
            <w:gridSpan w:val="21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2021.7.13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2021.7.13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401" w:hRule="atLeast"/>
          <w:jc w:val="center"/>
        </w:trPr>
        <w:tc>
          <w:tcPr>
            <w:tcW w:w="10246" w:type="dxa"/>
            <w:gridSpan w:val="20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31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0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277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2021.7.15</w:t>
            </w:r>
          </w:p>
        </w:tc>
        <w:tc>
          <w:tcPr>
            <w:tcW w:w="13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1969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A：QEO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5.1/5.2/5.3/6.1/6.2/6.3/9.1.1/9.3/10.1/10.3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5.1.1/5.1.2/5.2/5.3/6.1/6.2/6.3/9.1.1/9.3/10.1/10.3</w:t>
            </w:r>
          </w:p>
        </w:tc>
        <w:tc>
          <w:tcPr>
            <w:tcW w:w="127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0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：组织的岗位、职责权限；资源作用职责责任权限；目标、指标管理方案；环境因素/危险源识别评价；文件化信息；文件总则/管理手册、文件和记录控制；人员、组织知识；能力；意识；沟通；能力、培训和意识；信息交流、沟通参与和协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840" w:firstLineChars="4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E8.1/8.2/9.1/9.2/10.2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A审核：QEO5.3/6.2；EO</w:t>
            </w:r>
            <w:r>
              <w:rPr>
                <w:rFonts w:hint="eastAsia"/>
                <w:sz w:val="21"/>
                <w:szCs w:val="21"/>
              </w:rPr>
              <w:t>6.1.2/6.1.3/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8.1/8.2/9.1/9.2/10.2</w:t>
            </w:r>
          </w:p>
        </w:tc>
        <w:tc>
          <w:tcPr>
            <w:tcW w:w="127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1053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2021.7.16</w:t>
            </w:r>
          </w:p>
        </w:tc>
        <w:tc>
          <w:tcPr>
            <w:tcW w:w="13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部：组织的岗位、职责权限；目标；监视和测量资源；运行的策划和控制；产品和服务的放行；不合格输出的控制；环境因素、危险源辨识、风险评价和控制措施的确定；应急准备和响应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 5.3/6.2/8.7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E5.3/6.2/8.2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</w:t>
            </w:r>
            <w:r>
              <w:rPr>
                <w:rFonts w:hint="eastAsia"/>
                <w:sz w:val="21"/>
                <w:szCs w:val="21"/>
              </w:rPr>
              <w:t>7.1.5/8.6/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6.1.2/8.1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10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Q5.3/6.2/8.5.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E5.3/6.2/8.2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6.1.2/8.1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1053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2021.7.17</w:t>
            </w:r>
          </w:p>
        </w:tc>
        <w:tc>
          <w:tcPr>
            <w:tcW w:w="13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0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 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E6.1.2/8.1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</w:t>
            </w:r>
            <w:r>
              <w:rPr>
                <w:rFonts w:hint="eastAsia"/>
                <w:sz w:val="21"/>
                <w:szCs w:val="21"/>
              </w:rPr>
              <w:t>5.3/6.2/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5.3/6.2/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10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识别评价；</w:t>
            </w:r>
            <w:r>
              <w:rPr>
                <w:rFonts w:hint="eastAsia"/>
                <w:sz w:val="21"/>
                <w:szCs w:val="21"/>
              </w:rPr>
              <w:t>运行策划和控制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A审核：O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27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3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438" w:hRule="atLeast"/>
          <w:jc w:val="center"/>
        </w:trPr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：除17日外</w:t>
            </w:r>
          </w:p>
        </w:tc>
        <w:tc>
          <w:tcPr>
            <w:tcW w:w="13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0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C730B6"/>
    <w:rsid w:val="4A156954"/>
    <w:rsid w:val="550169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2021-07-16T01:48:50Z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8D43CCE9CFDC459495E6FF42C7B898CA</vt:lpwstr>
  </property>
</Properties>
</file>