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0712-2021-QEO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巴南区齐恩食品超市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Q:29.07.08,29.13.01</w:t>
            </w:r>
          </w:p>
          <w:p>
            <w:pPr>
              <w:spacing w:line="240" w:lineRule="exact"/>
              <w:jc w:val="center"/>
              <w:rPr>
                <w:b/>
                <w:color w:val="000000"/>
                <w:sz w:val="20"/>
                <w:szCs w:val="20"/>
              </w:rPr>
            </w:pPr>
            <w:r>
              <w:rPr>
                <w:b/>
                <w:color w:val="000000"/>
                <w:sz w:val="20"/>
                <w:szCs w:val="20"/>
              </w:rPr>
              <w:t>E:29.07.08,29.13.01</w:t>
            </w:r>
          </w:p>
          <w:p>
            <w:pPr>
              <w:spacing w:line="240" w:lineRule="exact"/>
              <w:jc w:val="center"/>
              <w:rPr>
                <w:b/>
                <w:color w:val="000000"/>
                <w:sz w:val="20"/>
                <w:szCs w:val="20"/>
              </w:rPr>
            </w:pPr>
            <w:r>
              <w:rPr>
                <w:b/>
                <w:color w:val="000000"/>
                <w:sz w:val="20"/>
                <w:szCs w:val="20"/>
              </w:rPr>
              <w:t>O:29.07.08,29.13.01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巴南区齐恩食品超市</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重庆市巴南区龙洲大道1980号2-1</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重庆市巴南区龙洲大道1980号2-1</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龚金艳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15320557232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何蒋鹏</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陈雯</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Q：许可范围内的预包装食品（含冷藏冷冻食品）、散装食品（含冷藏冷冻食品、不含直接入口食品）、蔬菜、水果、鲜肉、水产品的销售</w:t>
            </w:r>
          </w:p>
          <w:p>
            <w:pPr>
              <w:spacing w:line="400" w:lineRule="exact"/>
              <w:rPr>
                <w:rFonts w:ascii="宋体" w:hAnsi="宋体"/>
                <w:b/>
                <w:color w:val="000000"/>
                <w:sz w:val="20"/>
                <w:szCs w:val="20"/>
              </w:rPr>
            </w:pPr>
            <w:r>
              <w:rPr>
                <w:rFonts w:ascii="宋体" w:hAnsi="宋体"/>
                <w:b/>
                <w:color w:val="000000"/>
                <w:sz w:val="20"/>
                <w:szCs w:val="20"/>
              </w:rPr>
              <w:t>E：许可范围内的预包装食品（含冷藏冷冻食品）、散装食品（含冷藏冷冻食品、不含直接入口食品）、蔬菜、水果、鲜肉、水产品的销售所涉及场所的相关环境管理活动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O：许可范围内的预包装食品（含冷藏冷冻食品）、散装食品（含冷藏冷冻食品、不含直接入口食品）、蔬菜、水果、鲜肉、水产品的销售所涉及场所的相关职业健康安全管理活动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Q：29.07.08;29.13.01</w:t>
            </w:r>
          </w:p>
          <w:p>
            <w:pPr>
              <w:spacing w:line="280" w:lineRule="exact"/>
              <w:rPr>
                <w:rFonts w:ascii="宋体"/>
                <w:b/>
                <w:color w:val="000000"/>
                <w:sz w:val="20"/>
                <w:szCs w:val="20"/>
              </w:rPr>
            </w:pPr>
            <w:r>
              <w:rPr>
                <w:rFonts w:ascii="宋体"/>
                <w:b/>
                <w:color w:val="000000"/>
                <w:sz w:val="20"/>
                <w:szCs w:val="20"/>
              </w:rPr>
              <w:t>E：29.07.08;29.13.01</w:t>
            </w:r>
          </w:p>
          <w:p>
            <w:pPr>
              <w:spacing w:line="280" w:lineRule="exact"/>
              <w:rPr>
                <w:rFonts w:ascii="宋体"/>
                <w:b/>
                <w:color w:val="000000"/>
                <w:sz w:val="20"/>
                <w:szCs w:val="20"/>
              </w:rPr>
            </w:pPr>
            <w:r>
              <w:rPr>
                <w:rFonts w:ascii="宋体"/>
                <w:b/>
                <w:color w:val="000000"/>
                <w:sz w:val="20"/>
                <w:szCs w:val="20"/>
              </w:rPr>
              <w:t>O：29.07.08;29.13.01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rPr>
      </w:pPr>
      <w:r>
        <w:rPr>
          <w:rFonts w:hint="eastAsia" w:ascii="宋体" w:hAnsi="宋体"/>
          <w:b/>
          <w:color w:val="000000"/>
          <w:sz w:val="20"/>
          <w:szCs w:val="20"/>
        </w:rPr>
        <w:t>部门：</w:t>
      </w:r>
      <w:r>
        <w:rPr>
          <w:rFonts w:hint="eastAsia" w:ascii="宋体" w:hAnsi="宋体"/>
          <w:szCs w:val="21"/>
        </w:rPr>
        <w:t>有管理层、综合部、</w:t>
      </w:r>
      <w:r>
        <w:rPr>
          <w:rFonts w:hint="eastAsia" w:ascii="宋体" w:hAnsi="宋体"/>
          <w:szCs w:val="21"/>
          <w:lang w:eastAsia="zh-CN"/>
        </w:rPr>
        <w:t>运营部、</w:t>
      </w:r>
      <w:r>
        <w:rPr>
          <w:rFonts w:hint="eastAsia" w:ascii="宋体" w:hAnsi="宋体"/>
          <w:szCs w:val="21"/>
          <w:lang w:val="en-US" w:eastAsia="zh-CN"/>
        </w:rPr>
        <w:t>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办公经营场所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许可范围内的预包装食品（含冷藏冷冻食品）、散装食品（含冷藏冷冻食品、不含直接入口食品）、蔬菜、水果、鲜肉、水产品的销售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default" w:ascii="宋体"/>
                <w:b/>
                <w:color w:val="000000"/>
                <w:sz w:val="20"/>
                <w:szCs w:val="20"/>
                <w:lang w:val="en-US"/>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综合部、运营部、市场部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运营部</w:t>
            </w:r>
          </w:p>
          <w:p>
            <w:pPr>
              <w:tabs>
                <w:tab w:val="left" w:pos="360"/>
              </w:tabs>
              <w:spacing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受审核方位于：</w:t>
            </w:r>
            <w:bookmarkStart w:id="24" w:name="生产地址"/>
            <w:r>
              <w:t>重庆市巴南区龙</w:t>
            </w:r>
            <w:r>
              <w:rPr>
                <w:highlight w:val="none"/>
              </w:rPr>
              <w:t>洲大道1980号2-1</w:t>
            </w:r>
            <w:bookmarkEnd w:id="24"/>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食品经营许可证（</w:t>
            </w:r>
            <w:r>
              <w:rPr>
                <w:rFonts w:hint="eastAsia"/>
                <w:color w:val="000000"/>
                <w:szCs w:val="21"/>
                <w:lang w:val="en-US" w:eastAsia="zh-CN"/>
              </w:rPr>
              <w:t>JY15001131005402</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vAlign w:val="top"/>
          </w:tcPr>
          <w:p>
            <w:pPr>
              <w:spacing w:line="400" w:lineRule="exact"/>
              <w:rPr>
                <w:rFonts w:ascii="宋体"/>
                <w:color w:val="000000"/>
                <w:spacing w:val="-10"/>
                <w:sz w:val="20"/>
                <w:szCs w:val="20"/>
              </w:rPr>
            </w:pPr>
            <w:r>
              <w:rPr>
                <w:rFonts w:hint="eastAsia" w:ascii="宋体" w:hAnsi="宋体" w:eastAsia="宋体" w:cs="Times New Roman"/>
                <w:b w:val="0"/>
                <w:bCs w:val="0"/>
                <w:color w:val="000000"/>
                <w:kern w:val="2"/>
                <w:sz w:val="20"/>
                <w:szCs w:val="20"/>
                <w:lang w:val="en-US" w:eastAsia="zh-CN" w:bidi="ar-SA"/>
              </w:rPr>
              <w:t>■产品技术标准号：</w:t>
            </w:r>
            <w:r>
              <w:rPr>
                <w:rFonts w:hint="eastAsia"/>
                <w:szCs w:val="21"/>
              </w:rPr>
              <w:t>水果和蔬菜中450种农药及相关化学品残留量的测定 液相色谱GB/T 20769-2008 、大米、蔬菜、水果中氯氟吡氧乙酸残留量的测定GB/T 22243-2008、辐照冷冻包装畜禽肉类卫生标准GB 14891.7-1997、辐照新鲜水果、蔬菜类卫生标准GB 14891.5-1997、GB 7718-2011 预包装食品标签通则；GB 28050-2011 预包装食品营养标签通则；GB 2760-2014 食品安全国家标准 食品添加剂使用标准；GB 2763-2014 食品安全国家标准 食品中农药最大残留限量； GB 2762-2012 食品安全国家标准 食品中污染物限量以及4789和5009系列标准、品安全法、消费者权益保护法、GB14881食品召回管理办法</w:t>
            </w:r>
            <w:r>
              <w:rPr>
                <w:rFonts w:hint="eastAsia"/>
                <w:szCs w:val="21"/>
                <w:lang w:val="en-US" w:eastAsia="zh-CN"/>
              </w:rPr>
              <w:t>及</w:t>
            </w:r>
            <w:r>
              <w:rPr>
                <w:rFonts w:hint="eastAsia" w:ascii="宋体" w:hAnsi="宋体"/>
                <w:szCs w:val="21"/>
              </w:rPr>
              <w:t>合同协议</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jc w:val="left"/>
              <w:rPr>
                <w:rFonts w:hint="default" w:ascii="宋体" w:eastAsia="宋体"/>
                <w:color w:val="000000"/>
                <w:spacing w:val="-10"/>
                <w:sz w:val="20"/>
                <w:szCs w:val="20"/>
                <w:lang w:val="en-US" w:eastAsia="zh-CN"/>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z w:val="20"/>
                <w:szCs w:val="20"/>
                <w:lang w:eastAsia="zh-CN"/>
              </w:rPr>
              <w:t>，</w:t>
            </w:r>
            <w:r>
              <w:rPr>
                <w:rFonts w:hint="eastAsia" w:ascii="宋体" w:hAnsi="宋体"/>
                <w:color w:val="auto"/>
                <w:sz w:val="20"/>
                <w:szCs w:val="20"/>
                <w:lang w:val="en-US" w:eastAsia="zh-CN"/>
              </w:rPr>
              <w:t>详情见附件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是否接受了行政主管部门的抽查</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否，抽查结果</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合格</w:t>
            </w:r>
            <w:r>
              <w:rPr>
                <w:rFonts w:hint="eastAsia" w:ascii="宋体" w:hAnsi="宋体"/>
                <w:color w:val="000000"/>
                <w:spacing w:val="-10"/>
                <w:sz w:val="20"/>
                <w:szCs w:val="20"/>
                <w:highlight w:val="none"/>
              </w:rPr>
              <w:t>□</w:t>
            </w:r>
            <w:r>
              <w:rPr>
                <w:rFonts w:hint="eastAsia" w:ascii="宋体" w:hAnsi="宋体"/>
                <w:color w:val="000000"/>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eastAsia="宋体" w:cs="Times New Roman"/>
                <w:szCs w:val="21"/>
                <w:highlight w:val="none"/>
              </w:rPr>
              <w:t>污水排入城镇下水道水质标准（</w:t>
            </w:r>
            <w:r>
              <w:rPr>
                <w:rFonts w:ascii="宋体" w:hAnsi="宋体" w:eastAsia="宋体" w:cs="Times New Roman"/>
                <w:szCs w:val="21"/>
                <w:highlight w:val="none"/>
              </w:rPr>
              <w:t>GB/T 31962-2015</w:t>
            </w: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highlight w:val="none"/>
              </w:rPr>
            </w:pPr>
            <w:r>
              <w:rPr>
                <w:rFonts w:hint="eastAsia" w:ascii="宋体" w:hAnsi="宋体"/>
                <w:b/>
                <w:color w:val="000000"/>
                <w:spacing w:val="-10"/>
                <w:sz w:val="20"/>
                <w:szCs w:val="20"/>
                <w:highlight w:val="none"/>
              </w:rPr>
              <w:t>过程识别与控制情况（</w:t>
            </w:r>
            <w:r>
              <w:rPr>
                <w:rFonts w:ascii="宋体" w:hAnsi="宋体"/>
                <w:b/>
                <w:color w:val="000000"/>
                <w:spacing w:val="-10"/>
                <w:sz w:val="20"/>
                <w:szCs w:val="20"/>
                <w:highlight w:val="none"/>
              </w:rPr>
              <w:t>QMS</w:t>
            </w:r>
            <w:r>
              <w:rPr>
                <w:rFonts w:hint="eastAsia" w:ascii="宋体" w:hAnsi="宋体"/>
                <w:b/>
                <w:color w:val="000000"/>
                <w:spacing w:val="-10"/>
                <w:sz w:val="20"/>
                <w:szCs w:val="20"/>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highlight w:val="none"/>
              </w:rPr>
            </w:pPr>
            <w:r>
              <w:rPr>
                <w:rFonts w:hint="eastAsia" w:ascii="宋体" w:hAnsi="宋体"/>
                <w:color w:val="000000"/>
                <w:sz w:val="20"/>
                <w:szCs w:val="20"/>
                <w:highlight w:val="none"/>
              </w:rPr>
              <w:t>产品生产工艺</w:t>
            </w:r>
            <w:r>
              <w:rPr>
                <w:rFonts w:ascii="宋体" w:hAnsi="宋体"/>
                <w:color w:val="000000"/>
                <w:sz w:val="20"/>
                <w:szCs w:val="20"/>
                <w:highlight w:val="none"/>
              </w:rPr>
              <w:t>/</w:t>
            </w:r>
          </w:p>
          <w:p>
            <w:pPr>
              <w:rPr>
                <w:rFonts w:ascii="宋体"/>
                <w:color w:val="000000"/>
                <w:sz w:val="20"/>
                <w:szCs w:val="20"/>
                <w:highlight w:val="none"/>
              </w:rPr>
            </w:pPr>
            <w:r>
              <w:rPr>
                <w:rFonts w:hint="eastAsia" w:ascii="宋体" w:hAnsi="宋体"/>
                <w:color w:val="000000"/>
                <w:sz w:val="20"/>
                <w:szCs w:val="20"/>
                <w:highlight w:val="none"/>
              </w:rPr>
              <w:t>服务提供流程</w:t>
            </w:r>
          </w:p>
        </w:tc>
        <w:tc>
          <w:tcPr>
            <w:tcW w:w="7427" w:type="dxa"/>
          </w:tcPr>
          <w:p>
            <w:pPr>
              <w:spacing w:line="400" w:lineRule="exact"/>
              <w:rPr>
                <w:rFonts w:hint="eastAsia" w:ascii="宋体" w:hAnsi="宋体" w:eastAsia="宋体" w:cs="Times New Roman"/>
                <w:szCs w:val="21"/>
              </w:rPr>
            </w:pPr>
            <w:r>
              <w:rPr>
                <w:rFonts w:hint="eastAsia" w:ascii="宋体" w:hAnsi="宋体" w:cs="Times New Roman"/>
                <w:szCs w:val="21"/>
                <w:lang w:val="en-US" w:eastAsia="zh-CN"/>
              </w:rPr>
              <w:t>配送</w:t>
            </w:r>
            <w:r>
              <w:rPr>
                <w:rFonts w:hint="eastAsia" w:ascii="宋体" w:hAnsi="宋体" w:eastAsia="宋体" w:cs="Times New Roman"/>
                <w:szCs w:val="21"/>
              </w:rPr>
              <w:t>销售流程:顾客需求—签订合同—采购—验收—配送—交付—顾客验收。</w:t>
            </w:r>
          </w:p>
          <w:p>
            <w:pPr>
              <w:spacing w:line="400" w:lineRule="exact"/>
              <w:rPr>
                <w:rFonts w:ascii="宋体"/>
                <w:color w:val="000000" w:themeColor="text1"/>
                <w:sz w:val="20"/>
                <w:szCs w:val="20"/>
                <w:highlight w:val="none"/>
              </w:rPr>
            </w:pPr>
            <w:r>
              <w:rPr>
                <w:rFonts w:hint="eastAsia" w:ascii="宋体" w:hAnsi="宋体" w:cs="Times New Roman"/>
                <w:szCs w:val="21"/>
                <w:lang w:val="en-US" w:eastAsia="zh-CN"/>
              </w:rPr>
              <w:t>超市销售：采购</w:t>
            </w:r>
            <w:r>
              <w:rPr>
                <w:rFonts w:hint="eastAsia" w:ascii="宋体" w:hAnsi="宋体" w:eastAsia="宋体" w:cs="Times New Roman"/>
                <w:szCs w:val="21"/>
              </w:rPr>
              <w:t>—</w:t>
            </w:r>
            <w:r>
              <w:rPr>
                <w:rFonts w:hint="eastAsia" w:ascii="宋体" w:hAnsi="宋体" w:cs="Times New Roman"/>
                <w:szCs w:val="21"/>
                <w:lang w:val="en-US" w:eastAsia="zh-CN"/>
              </w:rPr>
              <w:t>分检上货</w:t>
            </w:r>
            <w:r>
              <w:rPr>
                <w:rFonts w:hint="eastAsia" w:ascii="宋体" w:hAnsi="宋体" w:eastAsia="宋体" w:cs="Times New Roman"/>
                <w:szCs w:val="21"/>
              </w:rPr>
              <w:t>—</w:t>
            </w:r>
            <w:r>
              <w:rPr>
                <w:rFonts w:hint="eastAsia" w:ascii="宋体" w:hAnsi="宋体" w:cs="Times New Roman"/>
                <w:szCs w:val="21"/>
                <w:lang w:val="en-US" w:eastAsia="zh-CN"/>
              </w:rPr>
              <w:t>销售接待</w:t>
            </w:r>
            <w:r>
              <w:rPr>
                <w:rFonts w:hint="eastAsia" w:ascii="宋体" w:hAnsi="宋体" w:eastAsia="宋体" w:cs="Times New Roman"/>
                <w:szCs w:val="21"/>
              </w:rPr>
              <w:t>—</w:t>
            </w:r>
            <w:r>
              <w:rPr>
                <w:rFonts w:hint="eastAsia" w:ascii="宋体" w:hAnsi="宋体" w:cs="Times New Roman"/>
                <w:szCs w:val="21"/>
                <w:lang w:val="en-US" w:eastAsia="zh-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highlight w:val="none"/>
              </w:rPr>
            </w:pPr>
            <w:r>
              <w:rPr>
                <w:rFonts w:hint="eastAsia" w:ascii="宋体" w:hAnsi="宋体"/>
                <w:color w:val="000000"/>
                <w:spacing w:val="-10"/>
                <w:sz w:val="20"/>
                <w:szCs w:val="20"/>
                <w:highlight w:val="none"/>
              </w:rPr>
              <w:t>关键过程（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hint="eastAsia" w:ascii="宋体" w:eastAsia="宋体"/>
                <w:color w:val="000000" w:themeColor="text1"/>
                <w:sz w:val="20"/>
                <w:szCs w:val="20"/>
                <w:highlight w:val="none"/>
                <w:lang w:eastAsia="zh-CN"/>
              </w:rPr>
            </w:pPr>
            <w:r>
              <w:rPr>
                <w:rFonts w:ascii="宋体" w:hAnsi="宋体" w:cs="宋体"/>
                <w:color w:val="000000" w:themeColor="text1"/>
                <w:sz w:val="21"/>
                <w:szCs w:val="21"/>
              </w:rPr>
              <w:t>关键</w:t>
            </w:r>
            <w:r>
              <w:rPr>
                <w:rFonts w:hint="eastAsia" w:ascii="宋体" w:hAnsi="宋体" w:cs="宋体"/>
                <w:color w:val="000000" w:themeColor="text1"/>
                <w:sz w:val="21"/>
                <w:szCs w:val="21"/>
                <w:lang w:val="en-US" w:eastAsia="zh-CN"/>
              </w:rPr>
              <w:t>/</w:t>
            </w:r>
            <w:r>
              <w:rPr>
                <w:rFonts w:ascii="宋体" w:hAnsi="宋体" w:cs="宋体"/>
                <w:color w:val="000000" w:themeColor="text1"/>
                <w:sz w:val="21"/>
                <w:szCs w:val="21"/>
              </w:rPr>
              <w:t>需确认过程：销售</w:t>
            </w:r>
            <w:r>
              <w:rPr>
                <w:rFonts w:hint="eastAsia" w:ascii="宋体" w:hAnsi="宋体"/>
                <w:color w:val="000000" w:themeColor="text1"/>
                <w:sz w:val="20"/>
                <w:szCs w:val="20"/>
                <w:lang w:val="en-US" w:eastAsia="zh-CN"/>
              </w:rPr>
              <w:t>过程</w:t>
            </w:r>
            <w:r>
              <w:rPr>
                <w:rFonts w:hint="eastAsia" w:ascii="宋体" w:hAnsi="宋体" w:cs="宋体"/>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针对关键过程建立的控</w:t>
            </w:r>
            <w:r>
              <w:rPr>
                <w:rFonts w:hint="eastAsia" w:ascii="宋体" w:hAnsi="宋体" w:eastAsia="宋体" w:cs="Times New Roman"/>
                <w:color w:val="000000"/>
                <w:sz w:val="20"/>
                <w:szCs w:val="20"/>
                <w:highlight w:val="none"/>
              </w:rPr>
              <w:t>制文件有：</w:t>
            </w:r>
            <w:r>
              <w:rPr>
                <w:rFonts w:hint="eastAsia"/>
                <w:highlight w:val="none"/>
              </w:rPr>
              <w:t>外部供方管理制度</w:t>
            </w:r>
            <w:r>
              <w:rPr>
                <w:rFonts w:hint="eastAsia"/>
                <w:highlight w:val="none"/>
                <w:lang w:eastAsia="zh-CN"/>
              </w:rPr>
              <w:t>、</w:t>
            </w:r>
            <w:r>
              <w:rPr>
                <w:rFonts w:hint="eastAsia"/>
                <w:highlight w:val="none"/>
              </w:rPr>
              <w:t>顾客满意管理制度</w:t>
            </w:r>
            <w:r>
              <w:rPr>
                <w:rFonts w:hint="eastAsia"/>
                <w:highlight w:val="none"/>
                <w:lang w:eastAsia="zh-CN"/>
              </w:rPr>
              <w:t>、</w:t>
            </w:r>
            <w:r>
              <w:rPr>
                <w:rFonts w:hint="eastAsia"/>
                <w:highlight w:val="none"/>
              </w:rPr>
              <w:t>绩效考核管理制度</w:t>
            </w:r>
            <w:r>
              <w:rPr>
                <w:rFonts w:hint="eastAsia" w:ascii="宋体" w:hAnsi="宋体" w:eastAsia="宋体" w:cs="Times New Roman"/>
                <w:color w:val="000000"/>
                <w:sz w:val="20"/>
                <w:szCs w:val="20"/>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themeColor="text1"/>
                <w:sz w:val="20"/>
                <w:szCs w:val="20"/>
              </w:rPr>
              <w:t>：</w:t>
            </w:r>
            <w:r>
              <w:rPr>
                <w:rFonts w:hint="eastAsia" w:ascii="宋体" w:hAnsi="宋体"/>
                <w:color w:val="000000" w:themeColor="text1"/>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pacing w:val="-10"/>
                <w:sz w:val="20"/>
                <w:szCs w:val="20"/>
              </w:rPr>
              <w:t>主要设备：</w:t>
            </w:r>
            <w:r>
              <w:rPr>
                <w:rFonts w:hint="eastAsia" w:ascii="宋体" w:hAnsi="宋体" w:cs="Times New Roman"/>
                <w:szCs w:val="21"/>
                <w:highlight w:val="none"/>
                <w:lang w:val="en-US" w:eastAsia="zh-CN"/>
              </w:rPr>
              <w:t>小型货车</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冰柜、风幕柜、收款机、</w:t>
            </w:r>
            <w:r>
              <w:rPr>
                <w:rFonts w:hint="eastAsia" w:ascii="宋体" w:hAnsi="宋体" w:eastAsia="宋体" w:cs="Times New Roman"/>
                <w:szCs w:val="21"/>
                <w:highlight w:val="none"/>
              </w:rPr>
              <w:t>电脑及办公设备等</w:t>
            </w:r>
            <w:r>
              <w:rPr>
                <w:rFonts w:hint="eastAsia"/>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highlight w:val="none"/>
                <w:lang w:val="en-US" w:eastAsia="zh-CN"/>
              </w:rPr>
            </w:pPr>
            <w:r>
              <w:rPr>
                <w:rFonts w:hint="eastAsia" w:ascii="宋体" w:hAnsi="宋体"/>
                <w:color w:val="000000"/>
                <w:sz w:val="20"/>
                <w:szCs w:val="20"/>
                <w:highlight w:val="none"/>
              </w:rPr>
              <w:t>特种设备：</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auto"/>
                <w:sz w:val="20"/>
                <w:szCs w:val="20"/>
              </w:rPr>
              <w:t>）：</w:t>
            </w:r>
            <w:r>
              <w:rPr>
                <w:rFonts w:hint="eastAsia" w:ascii="宋体" w:hAnsi="宋体" w:cs="Times New Roman"/>
                <w:szCs w:val="21"/>
                <w:highlight w:val="none"/>
                <w:lang w:val="en-US" w:eastAsia="zh-CN"/>
              </w:rPr>
              <w:t>电子台秤、条码标签秤、农药残留检测仪等</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以上检具均采用委外送检，提供有以上检具的有效校准证书</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szCs w:val="21"/>
              </w:rPr>
              <w:t>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针对重要环境因素建立了运行控制程序：有（1）危险源和环境因素识别与评价管理制度；（2）环境和职业健康安全运行管理制度。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针对重要环境因素是否明确了监视和测量的要求：</w:t>
            </w:r>
            <w:r>
              <w:rPr>
                <w:rFonts w:hint="eastAsia"/>
              </w:rPr>
              <w:t>监视和测量管理制度</w:t>
            </w:r>
            <w:r>
              <w:rPr>
                <w:rFonts w:hint="eastAsia" w:ascii="宋体"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不可接受风险控制情况（OHS适用）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不可接受风险有：火灾、触电、交通意外</w:t>
            </w:r>
            <w:r>
              <w:rPr>
                <w:rFonts w:hint="eastAsia" w:ascii="宋体" w:hAnsi="Times New Roman" w:eastAsia="宋体" w:cs="Times New Roman"/>
                <w:color w:val="000000"/>
                <w:sz w:val="20"/>
                <w:szCs w:val="20"/>
                <w:lang w:val="en-US" w:eastAsia="zh-CN"/>
              </w:rPr>
              <w:t>伤害</w:t>
            </w:r>
            <w:r>
              <w:rPr>
                <w:rFonts w:hint="eastAsia" w:ascii="宋体" w:hAnsi="Times New Roman" w:eastAsia="宋体" w:cs="Times New Roman"/>
                <w:color w:val="000000"/>
                <w:sz w:val="20"/>
                <w:szCs w:val="20"/>
              </w:rPr>
              <w:t>、食物中毒（霉变、变质等）。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hAnsi="Times New Roman" w:eastAsia="宋体" w:cs="Times New Roman"/>
                <w:color w:val="000000"/>
                <w:sz w:val="20"/>
                <w:szCs w:val="20"/>
                <w:lang w:val="en-US" w:eastAsia="zh-CN"/>
              </w:rPr>
            </w:pPr>
            <w:r>
              <w:rPr>
                <w:rFonts w:hint="eastAsia" w:ascii="宋体" w:hAnsi="Times New Roman" w:eastAsia="宋体" w:cs="Times New Roman"/>
                <w:color w:val="000000"/>
                <w:sz w:val="20"/>
                <w:szCs w:val="20"/>
              </w:rPr>
              <w:t>针对不可接受风险建立了运行控制程序：</w:t>
            </w:r>
            <w:r>
              <w:rPr>
                <w:rFonts w:hint="eastAsia" w:ascii="宋体" w:hAnsi="Times New Roman" w:eastAsia="宋体" w:cs="Times New Roman"/>
                <w:color w:val="000000"/>
                <w:sz w:val="20"/>
                <w:szCs w:val="20"/>
                <w:lang w:val="en-US" w:eastAsia="zh-CN"/>
              </w:rPr>
              <w:t>有（1）</w:t>
            </w:r>
            <w:r>
              <w:rPr>
                <w:rFonts w:hint="eastAsia" w:ascii="宋体" w:hAnsi="Times New Roman" w:eastAsia="宋体" w:cs="Times New Roman"/>
                <w:color w:val="000000"/>
                <w:sz w:val="20"/>
                <w:szCs w:val="20"/>
              </w:rPr>
              <w:t>危险源和环境因素识别与评价管理制度</w:t>
            </w:r>
            <w:r>
              <w:rPr>
                <w:rFonts w:hint="eastAsia" w:ascii="宋体" w:hAnsi="Times New Roman" w:eastAsia="宋体" w:cs="Times New Roman"/>
                <w:color w:val="000000"/>
                <w:sz w:val="20"/>
                <w:szCs w:val="20"/>
                <w:lang w:val="en-US" w:eastAsia="zh-CN"/>
              </w:rPr>
              <w:t>；</w:t>
            </w:r>
            <w:r>
              <w:rPr>
                <w:rFonts w:hint="eastAsia" w:ascii="宋体" w:hAnsi="Times New Roman" w:eastAsia="宋体" w:cs="Times New Roman"/>
                <w:color w:val="000000"/>
                <w:sz w:val="20"/>
                <w:szCs w:val="20"/>
              </w:rPr>
              <w:t>（2）环境和职业健康安全运行管理制度。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针对不可接受风险是否明确了监视和测量的要求：过程的测量和监控程序。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ascii="宋体"/>
          <w:b/>
          <w:color w:val="000000"/>
          <w:sz w:val="22"/>
          <w:szCs w:val="22"/>
        </w:rPr>
      </w:pP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重点审核部门：综合部、运营部、市场部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w:t>
            </w:r>
            <w:r>
              <w:rPr>
                <w:rFonts w:hint="eastAsia" w:ascii="宋体" w:hAnsi="宋体"/>
                <w:b/>
                <w:color w:val="000000"/>
                <w:sz w:val="20"/>
                <w:szCs w:val="20"/>
                <w:lang w:eastAsia="zh-CN"/>
              </w:rPr>
              <w:t>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w:t>
            </w:r>
            <w:r>
              <w:rPr>
                <w:rFonts w:hint="eastAsia" w:ascii="宋体" w:hAnsi="宋体"/>
                <w:b/>
                <w:color w:val="000000"/>
                <w:sz w:val="20"/>
                <w:szCs w:val="20"/>
                <w:lang w:eastAsia="zh-CN"/>
              </w:rPr>
              <w:t>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ind w:left="-540" w:leftChars="-257"/>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ind w:left="-540" w:leftChars="-257"/>
              <w:rPr>
                <w:rFonts w:ascii="宋体"/>
                <w:b/>
                <w:color w:val="000000"/>
                <w:sz w:val="20"/>
                <w:szCs w:val="20"/>
              </w:rPr>
            </w:pPr>
            <w:r>
              <w:rPr>
                <w:rFonts w:hint="eastAsia"/>
                <w:szCs w:val="21"/>
              </w:rPr>
              <w:t>建立有《内</w:t>
            </w:r>
            <w:r>
              <w:rPr>
                <w:rFonts w:hint="eastAsia" w:ascii="Times New Roman" w:hAnsi="Times New Roman" w:eastAsia="宋体" w:cs="Times New Roman"/>
                <w:szCs w:val="21"/>
              </w:rPr>
              <w:t>部审核控制程序》，于 202</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日进行了内部审核。内部审核组由：</w:t>
            </w:r>
            <w:r>
              <w:rPr>
                <w:rFonts w:hint="eastAsia" w:ascii="宋体" w:hAnsi="宋体" w:cs="Times New Roman"/>
                <w:szCs w:val="21"/>
              </w:rPr>
              <w:t>组长：陈雯  陈雯       组员：王国莉</w:t>
            </w:r>
            <w:r>
              <w:rPr>
                <w:rFonts w:hint="eastAsia" w:ascii="Times New Roman" w:hAnsi="Times New Roman" w:eastAsia="宋体" w:cs="Times New Roman"/>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szCs w:val="21"/>
              </w:rPr>
              <w:t>2、审核准则：a.Q.GB/T 19001-2016idtISO 9001:2015,E：GB/T 24001-2016idtISO 14001:2015,O：ISO 45001：2018标准； b</w:t>
            </w:r>
            <w:r>
              <w:rPr>
                <w:rFonts w:hint="eastAsia"/>
                <w:szCs w:val="21"/>
                <w:lang w:val="en-US" w:eastAsia="zh-CN"/>
              </w:rPr>
              <w:t>.</w:t>
            </w:r>
            <w:r>
              <w:rPr>
                <w:rFonts w:hint="eastAsia"/>
                <w:szCs w:val="21"/>
              </w:rPr>
              <w:t>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szCs w:val="21"/>
              </w:rPr>
              <w:t>建立有《管理评审控制程序》，于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Times New Roman" w:hAnsi="Times New Roman" w:eastAsia="宋体" w:cs="Times New Roman"/>
                <w:szCs w:val="21"/>
              </w:rPr>
              <w:t>就</w:t>
            </w:r>
            <w:r>
              <w:rPr>
                <w:rFonts w:hint="eastAsia"/>
                <w:szCs w:val="21"/>
              </w:rPr>
              <w:t>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rPr>
              <w:t>做好准备。</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z w:val="20"/>
                <w:szCs w:val="20"/>
                <w:lang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eastAsia="宋体" w:cs="Times New Roman"/>
          <w:b/>
          <w:bCs w:val="0"/>
          <w:color w:val="000000"/>
          <w:sz w:val="20"/>
          <w:szCs w:val="20"/>
          <w:u w:val="single"/>
        </w:rPr>
      </w:pPr>
      <w:r>
        <w:rPr>
          <w:rFonts w:ascii="宋体" w:hAnsi="宋体"/>
          <w:b/>
          <w:bCs w:val="0"/>
          <w:color w:val="000000"/>
          <w:sz w:val="20"/>
          <w:szCs w:val="20"/>
          <w:u w:val="single"/>
        </w:rPr>
        <w:t>QMS:_</w:t>
      </w:r>
      <w:r>
        <w:rPr>
          <w:rFonts w:hint="eastAsia" w:ascii="宋体" w:hAnsi="宋体" w:eastAsia="宋体" w:cs="Times New Roman"/>
          <w:b w:val="0"/>
          <w:bCs/>
          <w:color w:val="000000"/>
          <w:sz w:val="20"/>
          <w:szCs w:val="20"/>
          <w:u w:val="single"/>
        </w:rPr>
        <w:t>许可范围内的预包装食品（含冷藏冷冻食品）、散装食品（含冷藏冷冻食品、不含直接入口食品）、蔬菜、水果、鲜肉、水产品的销售</w:t>
      </w:r>
    </w:p>
    <w:p>
      <w:pPr>
        <w:spacing w:line="300" w:lineRule="auto"/>
        <w:ind w:firstLine="201" w:firstLineChars="100"/>
        <w:rPr>
          <w:rFonts w:hint="eastAsia" w:ascii="宋体" w:hAnsi="宋体"/>
          <w:b w:val="0"/>
          <w:bCs/>
          <w:szCs w:val="21"/>
          <w:u w:val="single"/>
        </w:rPr>
      </w:pPr>
      <w:r>
        <w:rPr>
          <w:rFonts w:ascii="宋体" w:hAnsi="宋体"/>
          <w:b/>
          <w:bCs w:val="0"/>
          <w:color w:val="000000"/>
          <w:sz w:val="20"/>
          <w:szCs w:val="20"/>
          <w:u w:val="single"/>
        </w:rPr>
        <w:t>EMS</w:t>
      </w:r>
      <w:r>
        <w:rPr>
          <w:rFonts w:ascii="宋体" w:hAnsi="宋体"/>
          <w:b/>
          <w:bCs w:val="0"/>
          <w:color w:val="000000"/>
          <w:sz w:val="20"/>
          <w:szCs w:val="20"/>
          <w:u w:val="single"/>
          <w:lang w:val="en-GB"/>
        </w:rPr>
        <w:t>:</w:t>
      </w:r>
      <w:r>
        <w:rPr>
          <w:rFonts w:ascii="宋体" w:hAnsi="宋体"/>
          <w:b/>
          <w:bCs w:val="0"/>
          <w:color w:val="000000"/>
          <w:sz w:val="20"/>
          <w:szCs w:val="20"/>
          <w:u w:val="single"/>
        </w:rPr>
        <w:t xml:space="preserve"> </w:t>
      </w:r>
      <w:r>
        <w:rPr>
          <w:rFonts w:hint="eastAsia" w:ascii="宋体" w:hAnsi="宋体"/>
          <w:b w:val="0"/>
          <w:bCs/>
          <w:szCs w:val="21"/>
          <w:u w:val="single"/>
        </w:rPr>
        <w:t>许可范围内的预包装食品（含冷藏冷冻食品）、散装食品（含冷藏冷冻食品、不含直接入口食品）、蔬菜、水果、鲜肉、水产品的销售所涉及场所的相关环境管理活动</w:t>
      </w:r>
    </w:p>
    <w:p>
      <w:pPr>
        <w:spacing w:line="300" w:lineRule="auto"/>
        <w:ind w:firstLine="201" w:firstLineChars="100"/>
        <w:rPr>
          <w:rFonts w:ascii="宋体"/>
          <w:b/>
          <w:bCs w:val="0"/>
          <w:color w:val="000000"/>
          <w:sz w:val="20"/>
          <w:szCs w:val="20"/>
          <w:u w:val="single"/>
        </w:rPr>
      </w:pPr>
      <w:r>
        <w:rPr>
          <w:rFonts w:ascii="宋体" w:hAnsi="宋体"/>
          <w:b/>
          <w:bCs w:val="0"/>
          <w:color w:val="000000"/>
          <w:sz w:val="20"/>
          <w:szCs w:val="20"/>
          <w:u w:val="single"/>
        </w:rPr>
        <w:t>OHSMS</w:t>
      </w:r>
      <w:r>
        <w:rPr>
          <w:rFonts w:ascii="宋体" w:hAnsi="宋体"/>
          <w:b/>
          <w:bCs w:val="0"/>
          <w:color w:val="000000"/>
          <w:sz w:val="20"/>
          <w:szCs w:val="20"/>
          <w:u w:val="single"/>
          <w:lang w:val="en-GB"/>
        </w:rPr>
        <w:t>:</w:t>
      </w:r>
      <w:r>
        <w:rPr>
          <w:rFonts w:hint="eastAsia" w:ascii="宋体" w:hAnsi="宋体"/>
          <w:b w:val="0"/>
          <w:bCs/>
          <w:szCs w:val="21"/>
          <w:u w:val="single"/>
        </w:rPr>
        <w:t xml:space="preserve">许可范围内的预包装食品（含冷藏冷冻食品）、散装食品（含冷藏冷冻食品、不含直接入口食品）、蔬菜、水果、鲜肉、水产品的销售所涉及场所的相关职业健康安全管理活动 </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ascii="宋体" w:hAnsi="宋体" w:eastAsia="宋体" w:cs="Times New Roman"/>
          <w:kern w:val="2"/>
          <w:sz w:val="21"/>
          <w:szCs w:val="22"/>
          <w:lang w:val="en-US" w:eastAsia="zh-CN" w:bidi="ar-SA"/>
        </w:rPr>
        <w:drawing>
          <wp:anchor distT="0" distB="0" distL="114300" distR="114300" simplePos="0" relativeHeight="251717632" behindDoc="0" locked="0" layoutInCell="1" allowOverlap="1">
            <wp:simplePos x="0" y="0"/>
            <wp:positionH relativeFrom="column">
              <wp:posOffset>1864995</wp:posOffset>
            </wp:positionH>
            <wp:positionV relativeFrom="paragraph">
              <wp:posOffset>6985</wp:posOffset>
            </wp:positionV>
            <wp:extent cx="334645" cy="310515"/>
            <wp:effectExtent l="0" t="0" r="8255" b="6985"/>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334645" cy="31051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745280" behindDoc="0" locked="0" layoutInCell="1" allowOverlap="1">
            <wp:simplePos x="0" y="0"/>
            <wp:positionH relativeFrom="column">
              <wp:posOffset>1713865</wp:posOffset>
            </wp:positionH>
            <wp:positionV relativeFrom="paragraph">
              <wp:posOffset>32385</wp:posOffset>
            </wp:positionV>
            <wp:extent cx="668655" cy="485775"/>
            <wp:effectExtent l="0" t="0" r="4445" b="952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668655" cy="48577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2021年07月08日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eastAsia="隶书"/>
          <w:color w:val="000000"/>
          <w:szCs w:val="21"/>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巴南区齐恩食品超市</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highlight w:val="none"/>
              </w:rPr>
            </w:pPr>
            <w:bookmarkStart w:id="25" w:name="_GoBack" w:colFirst="0" w:colLast="1"/>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highlight w:val="none"/>
                <w:lang w:val="en-US" w:eastAsia="zh-CN"/>
              </w:rPr>
            </w:pPr>
            <w:r>
              <w:rPr>
                <w:rFonts w:hint="eastAsia"/>
                <w:color w:val="000000"/>
                <w:sz w:val="24"/>
                <w:szCs w:val="24"/>
                <w:highlight w:val="none"/>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pStyle w:val="2"/>
            </w:pPr>
            <w:r>
              <w:rPr>
                <w:rFonts w:hint="eastAsia" w:ascii="宋体" w:hAnsi="宋体" w:eastAsia="宋体" w:cs="Times New Roman"/>
                <w:kern w:val="2"/>
                <w:sz w:val="21"/>
                <w:szCs w:val="22"/>
                <w:lang w:val="en-US" w:eastAsia="zh-CN" w:bidi="ar-SA"/>
              </w:rPr>
              <w:drawing>
                <wp:anchor distT="0" distB="0" distL="114300" distR="114300" simplePos="0" relativeHeight="251866112" behindDoc="0" locked="0" layoutInCell="1" allowOverlap="1">
                  <wp:simplePos x="0" y="0"/>
                  <wp:positionH relativeFrom="column">
                    <wp:posOffset>605790</wp:posOffset>
                  </wp:positionH>
                  <wp:positionV relativeFrom="paragraph">
                    <wp:posOffset>132080</wp:posOffset>
                  </wp:positionV>
                  <wp:extent cx="334645" cy="310515"/>
                  <wp:effectExtent l="0" t="0" r="8255" b="6985"/>
                  <wp:wrapNone/>
                  <wp:docPr id="5"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45e69cce4380e02713697e955d1ffd9"/>
                          <pic:cNvPicPr>
                            <a:picLocks noChangeAspect="1"/>
                          </pic:cNvPicPr>
                        </pic:nvPicPr>
                        <pic:blipFill>
                          <a:blip r:embed="rId6"/>
                          <a:stretch>
                            <a:fillRect/>
                          </a:stretch>
                        </pic:blipFill>
                        <pic:spPr>
                          <a:xfrm>
                            <a:off x="0" y="0"/>
                            <a:ext cx="334645" cy="310515"/>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2021年07月08日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2021年07月08日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2014592" behindDoc="0" locked="0" layoutInCell="1" allowOverlap="1">
                  <wp:simplePos x="0" y="0"/>
                  <wp:positionH relativeFrom="column">
                    <wp:posOffset>701040</wp:posOffset>
                  </wp:positionH>
                  <wp:positionV relativeFrom="paragraph">
                    <wp:posOffset>76200</wp:posOffset>
                  </wp:positionV>
                  <wp:extent cx="334645" cy="310515"/>
                  <wp:effectExtent l="0" t="0" r="8255" b="6985"/>
                  <wp:wrapNone/>
                  <wp:docPr id="4"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5e69cce4380e02713697e955d1ffd9"/>
                          <pic:cNvPicPr>
                            <a:picLocks noChangeAspect="1"/>
                          </pic:cNvPicPr>
                        </pic:nvPicPr>
                        <pic:blipFill>
                          <a:blip r:embed="rId6"/>
                          <a:stretch>
                            <a:fillRect/>
                          </a:stretch>
                        </pic:blipFill>
                        <pic:spPr>
                          <a:xfrm>
                            <a:off x="0" y="0"/>
                            <a:ext cx="334645" cy="310515"/>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2021年07月08日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681929"/>
    <w:rsid w:val="21CF1A08"/>
    <w:rsid w:val="7E020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2021-07-10T01:15:17Z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