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82"/>
        <w:gridCol w:w="114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乐山图南再生资源回收利用有限公司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周杉杉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再生塑料颗粒</w:t>
            </w:r>
            <w:r>
              <w:rPr>
                <w:rFonts w:hint="eastAsia" w:ascii="宋体" w:hAnsi="宋体" w:cs="宋体"/>
                <w:sz w:val="21"/>
                <w:szCs w:val="21"/>
              </w:rPr>
              <w:t>工艺过程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原材料（废旧塑料）—分选—清洗—破碎—熔融挤塑—切粒—入库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再生塑料丝工艺流程：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原材料（废旧塑料）—分选—清洗—破碎—熔融挤塑—切粒—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拌料—拉丝—</w:t>
            </w:r>
            <w:r>
              <w:rPr>
                <w:rFonts w:hint="eastAsia" w:ascii="宋体" w:hAnsi="宋体" w:cs="宋体"/>
                <w:sz w:val="21"/>
                <w:szCs w:val="21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特殊过程：熔融挤塑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提供特殊过程作业指导书，并对特殊过程进行了确认。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重要环境因素为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潜在火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灾；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生产固废；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粉尘的排放；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噪声的排放；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废水的排放；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建立了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固废的控制、潜在火灾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中华人民共和国环境保护法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中华人民共和国消防法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中华人民共和国劳动合同法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固体废弃物污染防治法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《再生塑料颗粒 》Q/TN0001S.01-2018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提供2020年11月25日产品检测报告，详细见附件。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填表人(专业人员)：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/>
          <w:b/>
          <w:spacing w:val="-6"/>
          <w:sz w:val="21"/>
          <w:szCs w:val="21"/>
        </w:rPr>
        <w:t xml:space="preserve">   日期：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/>
          <w:b/>
          <w:spacing w:val="-6"/>
          <w:sz w:val="21"/>
          <w:szCs w:val="21"/>
        </w:rPr>
        <w:t xml:space="preserve">             审核组长：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/>
          <w:b/>
          <w:spacing w:val="-6"/>
          <w:sz w:val="21"/>
          <w:szCs w:val="21"/>
        </w:rPr>
        <w:t xml:space="preserve">   日期：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87219"/>
    <w:multiLevelType w:val="singleLevel"/>
    <w:tmpl w:val="12A872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341988"/>
    <w:rsid w:val="088528C8"/>
    <w:rsid w:val="0A6D229A"/>
    <w:rsid w:val="0C8B658A"/>
    <w:rsid w:val="0E804441"/>
    <w:rsid w:val="0F7978D8"/>
    <w:rsid w:val="106831C3"/>
    <w:rsid w:val="14944643"/>
    <w:rsid w:val="14CA608A"/>
    <w:rsid w:val="161D46E7"/>
    <w:rsid w:val="18976182"/>
    <w:rsid w:val="192B206F"/>
    <w:rsid w:val="205C5C06"/>
    <w:rsid w:val="21FF6F41"/>
    <w:rsid w:val="24862FD3"/>
    <w:rsid w:val="2AB06399"/>
    <w:rsid w:val="2C8D6D2A"/>
    <w:rsid w:val="2DD668A6"/>
    <w:rsid w:val="2F055B46"/>
    <w:rsid w:val="2F4F6CD0"/>
    <w:rsid w:val="306D77E7"/>
    <w:rsid w:val="3C54049E"/>
    <w:rsid w:val="41C94537"/>
    <w:rsid w:val="427932A8"/>
    <w:rsid w:val="45336014"/>
    <w:rsid w:val="47280FED"/>
    <w:rsid w:val="49BA0B27"/>
    <w:rsid w:val="64D72AB5"/>
    <w:rsid w:val="65320563"/>
    <w:rsid w:val="66885E13"/>
    <w:rsid w:val="6D8364B0"/>
    <w:rsid w:val="715F1D9B"/>
    <w:rsid w:val="73FE136B"/>
    <w:rsid w:val="7C8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5</TotalTime>
  <ScaleCrop>false</ScaleCrop>
  <LinksUpToDate>false</LinksUpToDate>
  <CharactersWithSpaces>312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2021-07-12T01:06:39Z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A384270A82544CE184DF92AD15ACF669</vt:lpwstr>
  </property>
</Properties>
</file>