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中瑞恒（北京）科技有限公司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4"/>
          <w:rFonts w:hint="eastAsia" w:ascii="楷体" w:hAnsi="楷体" w:eastAsia="楷体"/>
          <w:b/>
          <w:sz w:val="36"/>
          <w:szCs w:val="36"/>
        </w:rPr>
        <w:t>www.china-isc.org.cn</w:t>
      </w:r>
      <w:r>
        <w:rPr>
          <w:rStyle w:val="14"/>
          <w:rFonts w:hint="eastAsia" w:ascii="楷体" w:hAnsi="楷体" w:eastAsia="楷体"/>
          <w:b/>
          <w:sz w:val="36"/>
          <w:szCs w:val="36"/>
        </w:rPr>
        <w:fldChar w:fldCharType="end"/>
      </w: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1"/>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李京田</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组长</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Q:18.09.00,29.08.03</w:t>
            </w:r>
          </w:p>
          <w:p>
            <w:pPr>
              <w:spacing w:line="240" w:lineRule="exact"/>
              <w:jc w:val="center"/>
              <w:rPr>
                <w:b/>
                <w:color w:val="000000" w:themeColor="text1"/>
                <w:sz w:val="20"/>
                <w:szCs w:val="20"/>
              </w:rPr>
            </w:pPr>
            <w:r>
              <w:rPr>
                <w:b/>
                <w:color w:val="000000" w:themeColor="text1"/>
                <w:sz w:val="20"/>
                <w:szCs w:val="20"/>
              </w:rPr>
              <w:t>E:18.09.00,29.08.03,29.22.02</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O:18.09.00,29.08.03,29.22.02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秦维利</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Q:29.22.02</w:t>
            </w:r>
          </w:p>
          <w:p>
            <w:pPr>
              <w:spacing w:line="240" w:lineRule="exact"/>
              <w:jc w:val="center"/>
              <w:rPr>
                <w:b/>
                <w:color w:val="000000" w:themeColor="text1"/>
                <w:sz w:val="20"/>
                <w:szCs w:val="20"/>
              </w:rPr>
            </w:pPr>
            <w:r>
              <w:rPr>
                <w:b/>
                <w:color w:val="000000" w:themeColor="text1"/>
                <w:sz w:val="20"/>
                <w:szCs w:val="20"/>
              </w:rPr>
              <w:t>E:29.22.02</w:t>
            </w:r>
          </w:p>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O:29.22.02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5"/>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ind w:left="-708" w:leftChars="-337"/>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中瑞恒（北京）科技有限公司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北京市海淀区西北旺东路10号院东区10号楼6层6-06室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100094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北京市海淀区西北旺东路10号院东区10号楼6层6-06室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100094</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张凤杰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17600427929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010-62990818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val="zh-CN"/>
              </w:rPr>
              <w:t>刘龙豹</w:t>
            </w:r>
          </w:p>
        </w:tc>
        <w:tc>
          <w:tcPr>
            <w:tcW w:w="1362"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z w:val="20"/>
                <w:szCs w:val="20"/>
              </w:rPr>
            </w:pPr>
            <w:bookmarkStart w:id="14" w:name="最高管理者"/>
            <w:bookmarkEnd w:id="14"/>
            <w:r>
              <w:rPr>
                <w:rFonts w:hint="eastAsia" w:ascii="宋体" w:hAnsi="宋体"/>
                <w:b/>
                <w:color w:val="000000" w:themeColor="text1"/>
                <w:sz w:val="20"/>
                <w:szCs w:val="20"/>
                <w:lang w:val="zh-CN"/>
              </w:rPr>
              <w:t>刘龙豹</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王晶</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Q：资质范围内空调的销售及维修安装</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E：资质范围内空调的销售及维修安装所涉及场所相关的环境管理活动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O：资质范围内空调的销售及维修安装所涉及场所相关的职业健康安全管理活动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Q：18.09.00;29.08.03;29.22.02</w:t>
            </w:r>
          </w:p>
          <w:p>
            <w:pPr>
              <w:spacing w:line="320" w:lineRule="exact"/>
              <w:rPr>
                <w:rFonts w:ascii="宋体" w:hAnsi="宋体"/>
                <w:b/>
                <w:color w:val="000000" w:themeColor="text1"/>
                <w:sz w:val="20"/>
                <w:szCs w:val="20"/>
              </w:rPr>
            </w:pPr>
            <w:r>
              <w:rPr>
                <w:rFonts w:ascii="宋体" w:hAnsi="宋体"/>
                <w:b/>
                <w:color w:val="000000" w:themeColor="text1"/>
                <w:sz w:val="20"/>
                <w:szCs w:val="20"/>
              </w:rPr>
              <w:t>E：18.09.00;29.08.03;29.22.02</w:t>
            </w:r>
          </w:p>
          <w:p>
            <w:pPr>
              <w:spacing w:line="320" w:lineRule="exact"/>
              <w:rPr>
                <w:rFonts w:ascii="宋体" w:hAnsi="宋体"/>
                <w:b/>
                <w:color w:val="000000" w:themeColor="text1"/>
                <w:sz w:val="20"/>
                <w:szCs w:val="20"/>
              </w:rPr>
            </w:pPr>
            <w:r>
              <w:rPr>
                <w:rFonts w:ascii="宋体" w:hAnsi="宋体"/>
                <w:b/>
                <w:color w:val="000000" w:themeColor="text1"/>
                <w:sz w:val="20"/>
                <w:szCs w:val="20"/>
              </w:rPr>
              <w:t>O：18.09.00;29.08.03;29.22.02</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2020-05-10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r>
              <w:rPr>
                <w:rFonts w:hint="eastAsia" w:ascii="宋体" w:hAnsi="宋体"/>
                <w:b/>
                <w:color w:val="000000" w:themeColor="text1"/>
                <w:sz w:val="20"/>
                <w:szCs w:val="20"/>
                <w:highlight w:val="yellow"/>
              </w:rPr>
              <w:t>北京市二十中学永泰校区二期工程项目（3#教学综合楼、4#化育馆空调工程）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spacing w:line="320" w:lineRule="exact"/>
              <w:rPr>
                <w:rFonts w:ascii="宋体" w:hAnsi="宋体"/>
                <w:b/>
                <w:color w:val="000000" w:themeColor="text1"/>
                <w:sz w:val="20"/>
                <w:szCs w:val="20"/>
              </w:rPr>
            </w:pPr>
            <w:r>
              <w:rPr>
                <w:rFonts w:ascii="宋体" w:hAnsi="宋体"/>
                <w:b/>
                <w:color w:val="000000" w:themeColor="text1"/>
                <w:sz w:val="20"/>
                <w:szCs w:val="20"/>
              </w:rPr>
              <w:t>组织及其环境；相关方的需求和希望；管理体系的范围；管理体系及其过程；领导作用和承诺；以顾客为关注焦点；管理方针</w:t>
            </w:r>
            <w:r>
              <w:rPr>
                <w:rFonts w:hint="eastAsia" w:ascii="宋体" w:hAnsi="宋体"/>
                <w:b/>
                <w:color w:val="000000" w:themeColor="text1"/>
                <w:sz w:val="20"/>
                <w:szCs w:val="20"/>
              </w:rPr>
              <w:t>、目标</w:t>
            </w:r>
            <w:r>
              <w:rPr>
                <w:rFonts w:ascii="宋体" w:hAnsi="宋体"/>
                <w:b/>
                <w:color w:val="000000" w:themeColor="text1"/>
                <w:sz w:val="20"/>
                <w:szCs w:val="20"/>
              </w:rPr>
              <w:t>；组织的岗位、职责权限；应对风险和机会的策划及措施控制；</w:t>
            </w:r>
            <w:r>
              <w:rPr>
                <w:rFonts w:hint="eastAsia" w:ascii="宋体" w:hAnsi="宋体"/>
                <w:b/>
                <w:color w:val="000000" w:themeColor="text1"/>
                <w:sz w:val="20"/>
                <w:szCs w:val="20"/>
              </w:rPr>
              <w:t>变更的策划；</w:t>
            </w:r>
            <w:r>
              <w:rPr>
                <w:rFonts w:ascii="宋体" w:hAnsi="宋体"/>
                <w:b/>
                <w:color w:val="000000" w:themeColor="text1"/>
                <w:sz w:val="20"/>
                <w:szCs w:val="20"/>
              </w:rPr>
              <w:t>资源提供；管理评审；</w:t>
            </w:r>
            <w:r>
              <w:rPr>
                <w:rFonts w:hint="eastAsia" w:ascii="宋体" w:hAnsi="宋体"/>
                <w:b/>
                <w:color w:val="000000" w:themeColor="text1"/>
                <w:sz w:val="20"/>
                <w:szCs w:val="20"/>
              </w:rPr>
              <w:t>总则；</w:t>
            </w:r>
            <w:r>
              <w:rPr>
                <w:rFonts w:ascii="宋体" w:hAnsi="宋体"/>
                <w:b/>
                <w:color w:val="000000" w:themeColor="text1"/>
                <w:sz w:val="20"/>
                <w:szCs w:val="20"/>
              </w:rPr>
              <w:t>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spacing w:line="320" w:lineRule="exact"/>
              <w:rPr>
                <w:rFonts w:ascii="宋体" w:hAnsi="宋体"/>
                <w:b/>
                <w:color w:val="000000" w:themeColor="text1"/>
                <w:sz w:val="20"/>
                <w:szCs w:val="20"/>
              </w:rPr>
            </w:pPr>
            <w:r>
              <w:rPr>
                <w:rFonts w:ascii="宋体" w:hAnsi="宋体"/>
                <w:b/>
                <w:color w:val="000000" w:themeColor="text1"/>
                <w:sz w:val="20"/>
                <w:szCs w:val="20"/>
              </w:rPr>
              <w:t>组织的岗位、职责权限；环境因素/危险源识别评价；目标、方案；基础设施；运行环境；监视和测量资源；运行的策划和控制；产品和服务要求；运行的策划</w:t>
            </w:r>
            <w:r>
              <w:rPr>
                <w:rFonts w:hint="eastAsia" w:ascii="宋体" w:hAnsi="宋体"/>
                <w:b/>
                <w:color w:val="000000" w:themeColor="text1"/>
                <w:sz w:val="20"/>
                <w:szCs w:val="20"/>
              </w:rPr>
              <w:t>；更改</w:t>
            </w:r>
            <w:r>
              <w:rPr>
                <w:rFonts w:ascii="宋体" w:hAnsi="宋体"/>
                <w:b/>
                <w:color w:val="000000" w:themeColor="text1"/>
                <w:sz w:val="20"/>
                <w:szCs w:val="20"/>
              </w:rPr>
              <w:t>控制；顾客或外部供方财产；交付后活动；标识和可追溯性；产品防护；</w:t>
            </w:r>
            <w:r>
              <w:rPr>
                <w:rFonts w:hint="eastAsia" w:ascii="宋体" w:hAnsi="宋体"/>
                <w:b/>
                <w:color w:val="000000" w:themeColor="text1"/>
                <w:sz w:val="20"/>
                <w:szCs w:val="20"/>
              </w:rPr>
              <w:t>产品和服务的放行；不合格品的控制；</w:t>
            </w:r>
            <w:r>
              <w:rPr>
                <w:rFonts w:ascii="宋体" w:hAnsi="宋体"/>
                <w:b/>
                <w:color w:val="000000" w:themeColor="text1"/>
                <w:sz w:val="20"/>
                <w:szCs w:val="20"/>
              </w:rPr>
              <w:t>顾客满意</w:t>
            </w:r>
            <w:r>
              <w:rPr>
                <w:rFonts w:hint="eastAsia" w:ascii="宋体" w:hAnsi="宋体"/>
                <w:b/>
                <w:color w:val="000000" w:themeColor="text1"/>
                <w:sz w:val="20"/>
                <w:szCs w:val="20"/>
              </w:rPr>
              <w:t>；</w:t>
            </w:r>
            <w:r>
              <w:rPr>
                <w:rFonts w:ascii="宋体" w:hAnsi="宋体"/>
                <w:b/>
                <w:color w:val="000000" w:themeColor="text1"/>
                <w:sz w:val="20"/>
                <w:szCs w:val="20"/>
              </w:rPr>
              <w:t>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组织的岗位、职责权限；组织知识；人员；能力；意识；沟通；能力、培训和意识；信息交流、沟通参与和协商（员工代表）；文件化信息；文件和记录控制；运行控制；内部审核；事件、不合格和纠正措施；应急准备和响应</w:t>
            </w:r>
          </w:p>
          <w:p>
            <w:pPr>
              <w:spacing w:line="320" w:lineRule="exact"/>
              <w:rPr>
                <w:rFonts w:ascii="宋体" w:hAnsi="宋体"/>
                <w:b/>
                <w:color w:val="000000" w:themeColor="text1"/>
                <w:sz w:val="20"/>
                <w:szCs w:val="20"/>
              </w:rPr>
            </w:pPr>
            <w:r>
              <w:rPr>
                <w:rFonts w:hint="eastAsia" w:ascii="宋体" w:hAnsi="宋体"/>
                <w:b/>
                <w:color w:val="000000" w:themeColor="text1"/>
                <w:sz w:val="20"/>
                <w:szCs w:val="20"/>
              </w:rPr>
              <w:t>目标、方案；环境因素/危险源识别评价；合规义务；外部提供的过程、产品和服务的控制；绩效的监视和测量；合规性评价；分析与评价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北京市二十中学永泰校区二期工程项目（3#教学综合楼、4#化育馆空调工程）</w:t>
            </w:r>
          </w:p>
        </w:tc>
        <w:tc>
          <w:tcPr>
            <w:tcW w:w="3249" w:type="dxa"/>
          </w:tcPr>
          <w:p>
            <w:pPr>
              <w:spacing w:line="320" w:lineRule="exact"/>
              <w:rPr>
                <w:rFonts w:hint="eastAsia" w:ascii="宋体" w:hAnsi="宋体"/>
                <w:b/>
                <w:color w:val="000000" w:themeColor="text1"/>
                <w:sz w:val="20"/>
                <w:szCs w:val="20"/>
              </w:rPr>
            </w:pPr>
            <w:r>
              <w:rPr>
                <w:rFonts w:hint="eastAsia" w:ascii="宋体" w:hAnsi="宋体"/>
                <w:b/>
                <w:color w:val="000000" w:themeColor="text1"/>
                <w:sz w:val="20"/>
                <w:szCs w:val="20"/>
              </w:rPr>
              <w:t>组织的岗位、职责权限；环境因素/危险源识别评价；目标、方案；基础设施；运行环境；监视和测量资源；运行的策划和控制；产品和服务要求；运行的策划；更改控制；顾客或外部供方财产；交付后活动；标识和可追溯性；产品防护；产品和服务的放行；不合格品的控制；顾客满意；应急准备和响应</w:t>
            </w:r>
          </w:p>
        </w:tc>
        <w:tc>
          <w:tcPr>
            <w:tcW w:w="3555" w:type="dxa"/>
          </w:tcPr>
          <w:p>
            <w:pPr>
              <w:spacing w:line="320" w:lineRule="exact"/>
              <w:rPr>
                <w:rFonts w:hint="eastAsia" w:ascii="宋体" w:hAnsi="宋体"/>
                <w:b/>
                <w:color w:val="000000" w:themeColor="text1"/>
                <w:sz w:val="20"/>
                <w:szCs w:val="20"/>
              </w:rPr>
            </w:pPr>
            <w:r>
              <w:rPr>
                <w:rFonts w:hint="eastAsia" w:ascii="宋体" w:hAnsi="宋体"/>
                <w:b/>
                <w:color w:val="000000" w:themeColor="text1"/>
                <w:sz w:val="20"/>
                <w:szCs w:val="20"/>
              </w:rPr>
              <w:t>北京市海淀区西三旗街道永泰庄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2"/>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b/>
                <w:color w:val="000000" w:themeColor="text1"/>
                <w:sz w:val="20"/>
                <w:szCs w:val="20"/>
              </w:rPr>
              <w:t>资质范围内空调的销售及维修安装</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《民用建筑供暖通风与空气调节设计规范》GB 50736-2012</w:t>
            </w:r>
          </w:p>
          <w:p>
            <w:pPr>
              <w:rPr>
                <w:b/>
                <w:color w:val="000000" w:themeColor="text1"/>
                <w:sz w:val="20"/>
                <w:szCs w:val="20"/>
              </w:rPr>
            </w:pPr>
            <w:r>
              <w:rPr>
                <w:rFonts w:hint="eastAsia"/>
                <w:b/>
                <w:color w:val="000000" w:themeColor="text1"/>
                <w:sz w:val="20"/>
                <w:szCs w:val="20"/>
              </w:rPr>
              <w:t>《建设工程文件归档整理规范》GB/T50328-2014</w:t>
            </w:r>
          </w:p>
          <w:p>
            <w:pPr>
              <w:rPr>
                <w:b/>
                <w:color w:val="000000" w:themeColor="text1"/>
                <w:sz w:val="20"/>
                <w:szCs w:val="20"/>
              </w:rPr>
            </w:pPr>
            <w:r>
              <w:rPr>
                <w:rFonts w:hint="eastAsia"/>
                <w:b/>
                <w:color w:val="000000" w:themeColor="text1"/>
                <w:sz w:val="20"/>
                <w:szCs w:val="20"/>
              </w:rPr>
              <w:t>《建筑设计防火规范》 GB50016—2014</w:t>
            </w:r>
          </w:p>
          <w:p>
            <w:pPr>
              <w:rPr>
                <w:b/>
                <w:color w:val="000000" w:themeColor="text1"/>
                <w:sz w:val="20"/>
                <w:szCs w:val="20"/>
              </w:rPr>
            </w:pPr>
            <w:r>
              <w:rPr>
                <w:rFonts w:hint="eastAsia"/>
                <w:b/>
                <w:color w:val="000000" w:themeColor="text1"/>
                <w:sz w:val="20"/>
                <w:szCs w:val="20"/>
              </w:rPr>
              <w:t>《建设工程施工现场供用电安全规范》GB50194-2014</w:t>
            </w:r>
          </w:p>
          <w:p>
            <w:pPr>
              <w:rPr>
                <w:b/>
                <w:color w:val="000000" w:themeColor="text1"/>
                <w:sz w:val="20"/>
                <w:szCs w:val="20"/>
              </w:rPr>
            </w:pPr>
            <w:r>
              <w:rPr>
                <w:rFonts w:hint="eastAsia"/>
                <w:b/>
                <w:color w:val="000000" w:themeColor="text1"/>
                <w:sz w:val="20"/>
                <w:szCs w:val="20"/>
              </w:rPr>
              <w:t>《建筑工程施工质量验收统一标准》GB50300-2013</w:t>
            </w:r>
          </w:p>
          <w:p>
            <w:pPr>
              <w:rPr>
                <w:b/>
                <w:color w:val="000000" w:themeColor="text1"/>
                <w:sz w:val="20"/>
                <w:szCs w:val="20"/>
              </w:rPr>
            </w:pPr>
            <w:r>
              <w:rPr>
                <w:rFonts w:hint="eastAsia"/>
                <w:b/>
                <w:color w:val="000000" w:themeColor="text1"/>
                <w:sz w:val="20"/>
                <w:szCs w:val="20"/>
              </w:rPr>
              <w:t>《多联式空调（热泵）机组》 GB/T 18837-2015</w:t>
            </w:r>
          </w:p>
          <w:p>
            <w:pPr>
              <w:rPr>
                <w:b/>
                <w:color w:val="000000" w:themeColor="text1"/>
                <w:sz w:val="20"/>
                <w:szCs w:val="20"/>
              </w:rPr>
            </w:pPr>
            <w:r>
              <w:rPr>
                <w:rFonts w:hint="eastAsia"/>
                <w:b/>
                <w:color w:val="000000" w:themeColor="text1"/>
                <w:sz w:val="20"/>
                <w:szCs w:val="20"/>
              </w:rPr>
              <w:t>《建筑施工安全检查标准》 JGJ59-2011</w:t>
            </w:r>
          </w:p>
          <w:p>
            <w:pPr>
              <w:rPr>
                <w:b/>
                <w:color w:val="000000" w:themeColor="text1"/>
                <w:sz w:val="20"/>
                <w:szCs w:val="20"/>
              </w:rPr>
            </w:pPr>
            <w:r>
              <w:rPr>
                <w:rFonts w:hint="eastAsia"/>
                <w:b/>
                <w:color w:val="000000" w:themeColor="text1"/>
                <w:sz w:val="20"/>
                <w:szCs w:val="20"/>
              </w:rPr>
              <w:t>《工业金属管道工程施工规范》 GBJ50235-2010</w:t>
            </w:r>
          </w:p>
          <w:p>
            <w:pPr>
              <w:rPr>
                <w:b/>
                <w:color w:val="000000" w:themeColor="text1"/>
                <w:sz w:val="20"/>
                <w:szCs w:val="20"/>
              </w:rPr>
            </w:pPr>
            <w:r>
              <w:rPr>
                <w:rFonts w:hint="eastAsia"/>
                <w:b/>
                <w:color w:val="000000" w:themeColor="text1"/>
                <w:sz w:val="20"/>
                <w:szCs w:val="20"/>
              </w:rPr>
              <w:t>《建筑防腐蚀工程施工质量验收规范》GB50224-2010</w:t>
            </w:r>
          </w:p>
          <w:p>
            <w:pPr>
              <w:rPr>
                <w:b/>
                <w:color w:val="000000" w:themeColor="text1"/>
                <w:sz w:val="20"/>
                <w:szCs w:val="20"/>
              </w:rPr>
            </w:pPr>
            <w:r>
              <w:rPr>
                <w:rFonts w:hint="eastAsia"/>
                <w:b/>
                <w:color w:val="000000" w:themeColor="text1"/>
                <w:sz w:val="20"/>
                <w:szCs w:val="20"/>
              </w:rPr>
              <w:t>《机械设备安装工程施工及验收规范》 GB50231-2009</w:t>
            </w:r>
          </w:p>
          <w:p>
            <w:pPr>
              <w:rPr>
                <w:b/>
                <w:color w:val="000000" w:themeColor="text1"/>
                <w:sz w:val="20"/>
                <w:szCs w:val="20"/>
              </w:rPr>
            </w:pPr>
            <w:r>
              <w:rPr>
                <w:rFonts w:hint="eastAsia"/>
                <w:b/>
                <w:color w:val="000000" w:themeColor="text1"/>
                <w:sz w:val="20"/>
                <w:szCs w:val="20"/>
              </w:rPr>
              <w:t>《建筑安装工程资料管理规程》 DB11/T695-2009</w:t>
            </w:r>
          </w:p>
          <w:p>
            <w:pPr>
              <w:rPr>
                <w:b/>
                <w:color w:val="000000" w:themeColor="text1"/>
                <w:sz w:val="20"/>
                <w:szCs w:val="20"/>
              </w:rPr>
            </w:pPr>
            <w:r>
              <w:rPr>
                <w:rFonts w:hint="eastAsia"/>
                <w:b/>
                <w:color w:val="000000" w:themeColor="text1"/>
                <w:sz w:val="20"/>
                <w:szCs w:val="20"/>
              </w:rPr>
              <w:t>《通风与空调工程施工质量验收规范》  GB50243-2002</w:t>
            </w:r>
          </w:p>
          <w:p>
            <w:pPr>
              <w:rPr>
                <w:b/>
                <w:color w:val="000000" w:themeColor="text1"/>
                <w:sz w:val="20"/>
                <w:szCs w:val="20"/>
              </w:rPr>
            </w:pPr>
            <w:r>
              <w:rPr>
                <w:rFonts w:hint="eastAsia"/>
                <w:b/>
                <w:color w:val="000000" w:themeColor="text1"/>
                <w:sz w:val="20"/>
                <w:szCs w:val="20"/>
              </w:rPr>
              <w:t>制冷空调设备包装 通用技术条 JB/T 9065-2015</w:t>
            </w:r>
          </w:p>
          <w:p>
            <w:pPr>
              <w:rPr>
                <w:b/>
                <w:color w:val="000000" w:themeColor="text1"/>
                <w:sz w:val="20"/>
                <w:szCs w:val="20"/>
              </w:rPr>
            </w:pPr>
            <w:r>
              <w:rPr>
                <w:rFonts w:hint="eastAsia"/>
                <w:b/>
                <w:color w:val="000000" w:themeColor="text1"/>
                <w:sz w:val="20"/>
                <w:szCs w:val="20"/>
              </w:rPr>
              <w:t>制冷空调作业安全技术规范 AQ 7004-2007</w:t>
            </w:r>
          </w:p>
          <w:p>
            <w:pPr>
              <w:rPr>
                <w:b/>
                <w:color w:val="000000" w:themeColor="text1"/>
                <w:sz w:val="20"/>
                <w:szCs w:val="20"/>
              </w:rPr>
            </w:pPr>
            <w:r>
              <w:rPr>
                <w:rFonts w:hint="eastAsia"/>
                <w:b/>
                <w:color w:val="000000" w:themeColor="text1"/>
                <w:sz w:val="20"/>
                <w:szCs w:val="20"/>
              </w:rPr>
              <w:t>制冷空调用板式热交换器火用效率评价方法GB/T 30261-2013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MS Mincho" w:hAnsi="MS Mincho" w:eastAsia="MS Mincho" w:cs="MS Mincho"/>
          <w:szCs w:val="21"/>
        </w:rPr>
        <w:t>☑</w:t>
      </w:r>
      <w:r>
        <w:rPr>
          <w:rFonts w:hint="eastAsia"/>
          <w:b/>
          <w:color w:val="000000" w:themeColor="text1"/>
          <w:spacing w:val="-10"/>
          <w:szCs w:val="21"/>
        </w:rPr>
        <w:t>体系运行开始的2</w:t>
      </w:r>
      <w:r>
        <w:rPr>
          <w:b/>
          <w:color w:val="000000" w:themeColor="text1"/>
          <w:spacing w:val="-10"/>
          <w:szCs w:val="21"/>
        </w:rPr>
        <w:t>020</w:t>
      </w:r>
      <w:r>
        <w:rPr>
          <w:rFonts w:hint="eastAsia"/>
          <w:b/>
          <w:color w:val="000000" w:themeColor="text1"/>
          <w:spacing w:val="-10"/>
          <w:szCs w:val="21"/>
        </w:rPr>
        <w:t>年5月</w:t>
      </w:r>
      <w:bookmarkStart w:id="18" w:name="OLE_LINK1"/>
      <w:r>
        <w:rPr>
          <w:rFonts w:hint="eastAsia"/>
          <w:b/>
          <w:color w:val="000000" w:themeColor="text1"/>
          <w:spacing w:val="-10"/>
          <w:szCs w:val="21"/>
        </w:rPr>
        <w:t>1</w:t>
      </w:r>
      <w:r>
        <w:rPr>
          <w:b/>
          <w:color w:val="000000" w:themeColor="text1"/>
          <w:spacing w:val="-10"/>
          <w:szCs w:val="21"/>
        </w:rPr>
        <w:t>0</w:t>
      </w:r>
      <w:r>
        <w:rPr>
          <w:rFonts w:hint="eastAsia"/>
          <w:b/>
          <w:color w:val="000000" w:themeColor="text1"/>
          <w:spacing w:val="-10"/>
          <w:szCs w:val="21"/>
        </w:rPr>
        <w:t>日</w:t>
      </w:r>
      <w:bookmarkEnd w:id="18"/>
      <w:r>
        <w:rPr>
          <w:rFonts w:hint="eastAsia"/>
          <w:b/>
          <w:color w:val="000000" w:themeColor="text1"/>
          <w:spacing w:val="-10"/>
          <w:szCs w:val="21"/>
        </w:rPr>
        <w:t>至2</w:t>
      </w:r>
      <w:r>
        <w:rPr>
          <w:b/>
          <w:color w:val="000000" w:themeColor="text1"/>
          <w:spacing w:val="-10"/>
          <w:szCs w:val="21"/>
        </w:rPr>
        <w:t>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MS Mincho" w:hAnsi="MS Mincho" w:eastAsia="MS Mincho" w:cs="MS Mincho"/>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b/>
                <w:color w:val="000000" w:themeColor="text1"/>
                <w:sz w:val="20"/>
                <w:szCs w:val="20"/>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spacing w:line="240" w:lineRule="exact"/>
              <w:rPr>
                <w:b/>
                <w:color w:val="000000" w:themeColor="text1"/>
                <w:sz w:val="20"/>
                <w:szCs w:val="20"/>
              </w:rPr>
            </w:pPr>
            <w:r>
              <w:rPr>
                <w:rFonts w:hint="eastAsia"/>
                <w:b/>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b/>
                <w:color w:val="000000" w:themeColor="text1"/>
                <w:sz w:val="20"/>
                <w:szCs w:val="20"/>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spacing w:line="240" w:lineRule="exact"/>
              <w:rPr>
                <w:b/>
                <w:color w:val="000000" w:themeColor="text1"/>
                <w:sz w:val="20"/>
                <w:szCs w:val="20"/>
              </w:rPr>
            </w:pPr>
            <w:bookmarkStart w:id="19" w:name="_Toc475020125"/>
            <w:bookmarkStart w:id="20" w:name="_Toc475019994"/>
            <w:r>
              <w:rPr>
                <w:rFonts w:hint="eastAsia"/>
                <w:b/>
                <w:color w:val="000000" w:themeColor="text1"/>
                <w:sz w:val="20"/>
                <w:szCs w:val="20"/>
              </w:rPr>
              <w:t>与质量/环境/职业健康安全管理体系有关的相关方</w:t>
            </w:r>
            <w:bookmarkEnd w:id="19"/>
            <w:bookmarkEnd w:id="20"/>
            <w:r>
              <w:rPr>
                <w:rFonts w:hint="eastAsia"/>
                <w:b/>
                <w:color w:val="000000" w:themeColor="text1"/>
                <w:sz w:val="20"/>
                <w:szCs w:val="20"/>
              </w:rPr>
              <w:t>；</w:t>
            </w:r>
          </w:p>
          <w:p>
            <w:pPr>
              <w:spacing w:line="240" w:lineRule="exact"/>
              <w:rPr>
                <w:b/>
                <w:color w:val="000000" w:themeColor="text1"/>
                <w:sz w:val="20"/>
                <w:szCs w:val="20"/>
              </w:rPr>
            </w:pPr>
            <w:r>
              <w:rPr>
                <w:rFonts w:hint="eastAsia"/>
                <w:b/>
                <w:color w:val="000000" w:themeColor="text1"/>
                <w:sz w:val="20"/>
                <w:szCs w:val="20"/>
              </w:rPr>
              <w:t>公司的相关方包括：顾客、员工、银行、外部供应商、雇员及其他为组织工作者、法律法规及监管机关、非政府组织等。</w:t>
            </w:r>
          </w:p>
          <w:p>
            <w:pPr>
              <w:spacing w:line="240" w:lineRule="exact"/>
              <w:rPr>
                <w:b/>
                <w:color w:val="000000" w:themeColor="text1"/>
                <w:sz w:val="20"/>
                <w:szCs w:val="20"/>
              </w:rPr>
            </w:pPr>
            <w:r>
              <w:rPr>
                <w:rFonts w:hint="eastAsia"/>
                <w:b/>
                <w:color w:val="000000" w:themeColor="text1"/>
                <w:sz w:val="20"/>
                <w:szCs w:val="20"/>
              </w:rPr>
              <w:t>公司对这些相关方及其要求的相关信息进行监视和评审，理解和持续满足相关方的需求和期望。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MS Mincho" w:hAnsi="MS Mincho" w:eastAsia="MS Mincho" w:cs="MS Mincho"/>
                <w:szCs w:val="21"/>
              </w:rPr>
              <w:t xml:space="preserve"> ☑</w:t>
            </w:r>
            <w:r>
              <w:rPr>
                <w:rFonts w:hint="eastAsia" w:ascii="宋体" w:hAnsi="宋体"/>
                <w:b/>
                <w:color w:val="000000" w:themeColor="text1"/>
                <w:sz w:val="20"/>
                <w:szCs w:val="20"/>
              </w:rPr>
              <w:t>质量/</w:t>
            </w:r>
            <w:r>
              <w:rPr>
                <w:rFonts w:hint="eastAsia" w:ascii="MS Mincho" w:hAnsi="MS Mincho" w:eastAsia="MS Mincho" w:cs="MS Mincho"/>
                <w:szCs w:val="21"/>
              </w:rPr>
              <w:t>☑</w:t>
            </w:r>
            <w:r>
              <w:rPr>
                <w:rFonts w:hint="eastAsia" w:ascii="宋体" w:hAnsi="宋体"/>
                <w:b/>
                <w:color w:val="000000" w:themeColor="text1"/>
                <w:sz w:val="20"/>
                <w:szCs w:val="20"/>
              </w:rPr>
              <w:t>环境/</w:t>
            </w:r>
            <w:r>
              <w:rPr>
                <w:rFonts w:hint="eastAsia" w:ascii="MS Mincho" w:hAnsi="MS Mincho" w:eastAsia="MS Mincho" w:cs="MS Mincho"/>
                <w:szCs w:val="21"/>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rPr>
                <w:rFonts w:ascii="宋体" w:hAnsi="宋体"/>
                <w:b/>
                <w:bCs/>
                <w:color w:val="000000" w:themeColor="text1"/>
                <w:sz w:val="20"/>
                <w:szCs w:val="20"/>
              </w:rPr>
            </w:pPr>
            <w:r>
              <w:rPr>
                <w:rFonts w:hint="eastAsia" w:ascii="宋体" w:hAnsi="宋体"/>
                <w:b/>
                <w:bCs/>
                <w:color w:val="000000" w:themeColor="text1"/>
                <w:sz w:val="20"/>
                <w:szCs w:val="20"/>
              </w:rPr>
              <w:t>守法诚信追求质量，预防污染保护环境；</w:t>
            </w:r>
          </w:p>
          <w:p>
            <w:pPr>
              <w:spacing w:line="280" w:lineRule="exact"/>
              <w:rPr>
                <w:rFonts w:ascii="宋体" w:hAnsi="宋体"/>
                <w:b/>
                <w:bCs/>
                <w:color w:val="000000" w:themeColor="text1"/>
                <w:sz w:val="20"/>
                <w:szCs w:val="20"/>
              </w:rPr>
            </w:pPr>
            <w:r>
              <w:rPr>
                <w:rFonts w:hint="eastAsia" w:ascii="宋体" w:hAnsi="宋体"/>
                <w:b/>
                <w:bCs/>
                <w:color w:val="000000" w:themeColor="text1"/>
                <w:sz w:val="20"/>
                <w:szCs w:val="20"/>
              </w:rPr>
              <w:t>关爱员工健康安全，持续改进追求卓越。</w:t>
            </w:r>
          </w:p>
          <w:p>
            <w:pPr>
              <w:spacing w:line="280" w:lineRule="exact"/>
              <w:rPr>
                <w:rFonts w:ascii="宋体" w:hAnsi="宋体"/>
                <w:b/>
                <w:color w:val="000000" w:themeColor="text1"/>
                <w:sz w:val="20"/>
                <w:szCs w:val="20"/>
              </w:rPr>
            </w:pPr>
            <w:r>
              <w:rPr>
                <w:rFonts w:hint="eastAsia" w:ascii="宋体" w:hAnsi="宋体"/>
                <w:b/>
                <w:color w:val="000000" w:themeColor="text1"/>
                <w:sz w:val="20"/>
                <w:szCs w:val="20"/>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rPr>
                <w:rFonts w:ascii="宋体" w:hAnsi="宋体"/>
                <w:b/>
                <w:color w:val="000000" w:themeColor="text1"/>
                <w:sz w:val="20"/>
                <w:szCs w:val="20"/>
              </w:rPr>
            </w:pPr>
            <w:r>
              <w:rPr>
                <w:rFonts w:hint="eastAsia" w:ascii="宋体" w:hAnsi="宋体"/>
                <w:b/>
                <w:color w:val="000000" w:themeColor="text1"/>
                <w:sz w:val="20"/>
                <w:szCs w:val="20"/>
              </w:rPr>
              <w:t>总经理用会议、文件等手段保证管理方针为全体员工理解并落实到工作中。总经理说管理评审时对方针的持续适宜性进行了评审，有评审记录。</w:t>
            </w:r>
          </w:p>
          <w:p>
            <w:pPr>
              <w:spacing w:line="280" w:lineRule="exact"/>
              <w:rPr>
                <w:rFonts w:ascii="宋体" w:hAnsi="宋体"/>
                <w:b/>
                <w:color w:val="000000" w:themeColor="text1"/>
                <w:sz w:val="20"/>
                <w:szCs w:val="20"/>
              </w:rPr>
            </w:pPr>
            <w:r>
              <w:rPr>
                <w:rFonts w:hint="eastAsia" w:ascii="宋体" w:hAnsi="宋体"/>
                <w:b/>
                <w:color w:val="000000" w:themeColor="text1"/>
                <w:sz w:val="20"/>
                <w:szCs w:val="20"/>
              </w:rPr>
              <w:t>以上管理方针通过文件、培训等形式将公司管理方针传达给所有为公司工作或代表公司的人员，相关方也可通过综合部获取公司管理方针。</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rFonts w:ascii="宋体" w:hAnsi="宋体"/>
                <w:b/>
                <w:color w:val="000000" w:themeColor="text1"/>
                <w:sz w:val="20"/>
                <w:szCs w:val="20"/>
              </w:rPr>
              <w:t>4、</w:t>
            </w:r>
            <w:r>
              <w:rPr>
                <w:rFonts w:hint="eastAsia" w:ascii="宋体" w:hAnsi="宋体"/>
                <w:b/>
                <w:color w:val="000000" w:themeColor="text1"/>
                <w:sz w:val="20"/>
                <w:szCs w:val="20"/>
              </w:rPr>
              <w:t>风险识别与控制策划（QMS）</w:t>
            </w:r>
          </w:p>
          <w:p>
            <w:pPr>
              <w:spacing w:line="280" w:lineRule="exact"/>
              <w:rPr>
                <w:b/>
                <w:color w:val="000000" w:themeColor="text1"/>
              </w:rPr>
            </w:pPr>
            <w:r>
              <w:rPr>
                <w:rFonts w:hint="eastAsia" w:ascii="宋体" w:hAnsi="宋体"/>
                <w:b/>
                <w:color w:val="000000" w:themeColor="text1"/>
                <w:sz w:val="20"/>
                <w:szCs w:val="20"/>
              </w:rPr>
              <w:t>公司编制《</w:t>
            </w:r>
            <w:r>
              <w:rPr>
                <w:rFonts w:ascii="宋体" w:hAnsi="宋体"/>
                <w:b/>
                <w:color w:val="000000" w:themeColor="text1"/>
                <w:sz w:val="20"/>
                <w:szCs w:val="20"/>
              </w:rPr>
              <w:t>应对风险和机遇的措施表</w:t>
            </w:r>
            <w:r>
              <w:rPr>
                <w:rFonts w:hint="eastAsia" w:ascii="宋体" w:hAnsi="宋体"/>
                <w:b/>
                <w:color w:val="000000" w:themeColor="text1"/>
                <w:sz w:val="20"/>
                <w:szCs w:val="20"/>
              </w:rPr>
              <w:t>》，公司分别从顾客需求、公司内部、适用的法律法规等方面识别了必要的风险和机遇，如：方针和目标变更的需求，顾客需求变更，服务方式变更、法律法规变更、外部环境（包括空气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水的变化）等风险，制定了相应的应对措施，制定了负责的部门和具体的实施方案，需要的资金和日程安排等，如针对顾客需求的变更，由业务部紧密与客户沟通，是否有更新的需求，经查暂无变更需求。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质量管理体系过程有：与顾客有关的过程；生产和服务提供过程；产品和服务的放行</w:t>
            </w:r>
          </w:p>
          <w:p>
            <w:pPr>
              <w:tabs>
                <w:tab w:val="left" w:pos="540"/>
              </w:tabs>
              <w:spacing w:line="300" w:lineRule="exact"/>
              <w:ind w:left="201" w:hanging="201" w:hangingChars="100"/>
              <w:jc w:val="left"/>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销售服务过程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销售服务过程</w:t>
            </w:r>
          </w:p>
          <w:p>
            <w:pPr>
              <w:tabs>
                <w:tab w:val="left" w:pos="540"/>
              </w:tabs>
              <w:spacing w:line="300" w:lineRule="exact"/>
              <w:ind w:left="201" w:hanging="201" w:hangingChars="100"/>
              <w:rPr>
                <w:rFonts w:ascii="宋体" w:hAnsi="宋体"/>
                <w:b/>
                <w:bCs/>
                <w:color w:val="000000" w:themeColor="text1"/>
                <w:sz w:val="20"/>
                <w:szCs w:val="20"/>
                <w:u w:val="single"/>
              </w:rPr>
            </w:pPr>
            <w:r>
              <w:rPr>
                <w:b/>
                <w:color w:val="000000" w:themeColor="text1"/>
                <w:sz w:val="20"/>
                <w:szCs w:val="20"/>
              </w:rPr>
              <w:pict>
                <v:shape id="_x0000_s1030" o:spid="_x0000_s1030"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9" o:spid="_x0000_s1029"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w:t>
            </w:r>
            <w:r>
              <w:rPr>
                <w:rFonts w:ascii="宋体" w:hAnsi="宋体"/>
                <w:b/>
                <w:color w:val="000000" w:themeColor="text1"/>
                <w:sz w:val="20"/>
                <w:szCs w:val="20"/>
              </w:rPr>
              <w:t>8.3</w:t>
            </w:r>
            <w:r>
              <w:rPr>
                <w:rFonts w:hint="eastAsia" w:ascii="宋体" w:hAnsi="宋体"/>
                <w:b/>
                <w:color w:val="000000" w:themeColor="text1"/>
                <w:sz w:val="20"/>
                <w:szCs w:val="20"/>
              </w:rPr>
              <w:t xml:space="preserve">     ，不适用理由：</w:t>
            </w:r>
            <w:r>
              <w:rPr>
                <w:rFonts w:hint="eastAsia" w:ascii="宋体" w:hAnsi="宋体"/>
                <w:b/>
                <w:bCs/>
                <w:color w:val="000000" w:themeColor="text1"/>
                <w:sz w:val="20"/>
                <w:szCs w:val="20"/>
                <w:u w:val="single"/>
              </w:rPr>
              <w:t>本公司资质范围内空调的销售及维修安装过程不涉及设计开发，故删除8.3条款，不影响体系运行的实施。</w:t>
            </w:r>
          </w:p>
          <w:p>
            <w:pPr>
              <w:tabs>
                <w:tab w:val="left" w:pos="540"/>
              </w:tabs>
              <w:spacing w:line="300" w:lineRule="exact"/>
              <w:ind w:left="201" w:hanging="201" w:hangingChars="100"/>
              <w:rPr>
                <w:rFonts w:ascii="宋体" w:hAnsi="宋体"/>
                <w:b/>
                <w:bCs/>
                <w:color w:val="000000" w:themeColor="text1"/>
                <w:sz w:val="20"/>
                <w:szCs w:val="20"/>
              </w:rPr>
            </w:pP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b/>
                <w:color w:val="000000" w:themeColor="text1"/>
                <w:sz w:val="20"/>
                <w:szCs w:val="20"/>
              </w:rPr>
              <w:t>提供《环境因素识别</w:t>
            </w:r>
            <w:r>
              <w:rPr>
                <w:rFonts w:hint="eastAsia"/>
                <w:b/>
                <w:color w:val="000000" w:themeColor="text1"/>
                <w:sz w:val="20"/>
                <w:szCs w:val="20"/>
              </w:rPr>
              <w:t>评价</w:t>
            </w:r>
            <w:r>
              <w:rPr>
                <w:b/>
                <w:color w:val="000000" w:themeColor="text1"/>
                <w:sz w:val="20"/>
                <w:szCs w:val="20"/>
              </w:rPr>
              <w:t>表》，其中包括办公区等，包括固废排放、火灾</w:t>
            </w:r>
            <w:r>
              <w:rPr>
                <w:rFonts w:hint="eastAsia"/>
                <w:b/>
                <w:color w:val="000000" w:themeColor="text1"/>
                <w:sz w:val="20"/>
                <w:szCs w:val="20"/>
              </w:rPr>
              <w:t>的发生</w:t>
            </w:r>
            <w:r>
              <w:rPr>
                <w:b/>
                <w:color w:val="000000" w:themeColor="text1"/>
                <w:sz w:val="20"/>
                <w:szCs w:val="20"/>
              </w:rPr>
              <w:t>、</w:t>
            </w:r>
            <w:r>
              <w:rPr>
                <w:rFonts w:hint="eastAsia"/>
                <w:b/>
                <w:color w:val="000000" w:themeColor="text1"/>
                <w:sz w:val="20"/>
                <w:szCs w:val="20"/>
              </w:rPr>
              <w:t>资源的消</w:t>
            </w:r>
            <w:r>
              <w:rPr>
                <w:b/>
                <w:color w:val="000000" w:themeColor="text1"/>
                <w:sz w:val="20"/>
                <w:szCs w:val="20"/>
              </w:rPr>
              <w:t>耗、</w:t>
            </w:r>
            <w:r>
              <w:rPr>
                <w:rFonts w:hint="eastAsia"/>
                <w:b/>
                <w:color w:val="000000" w:themeColor="text1"/>
                <w:sz w:val="20"/>
                <w:szCs w:val="20"/>
              </w:rPr>
              <w:t>能源的消耗、</w:t>
            </w:r>
            <w:r>
              <w:rPr>
                <w:b/>
                <w:color w:val="000000" w:themeColor="text1"/>
                <w:sz w:val="20"/>
                <w:szCs w:val="20"/>
              </w:rPr>
              <w:t>废气排放、</w:t>
            </w:r>
            <w:r>
              <w:rPr>
                <w:rFonts w:hint="eastAsia"/>
                <w:b/>
                <w:color w:val="000000" w:themeColor="text1"/>
                <w:sz w:val="20"/>
                <w:szCs w:val="20"/>
              </w:rPr>
              <w:t>废水的排放、</w:t>
            </w:r>
            <w:r>
              <w:rPr>
                <w:b/>
                <w:color w:val="000000" w:themeColor="text1"/>
                <w:sz w:val="20"/>
                <w:szCs w:val="20"/>
              </w:rPr>
              <w:t>噪声排放等。</w:t>
            </w:r>
          </w:p>
          <w:p>
            <w:pPr>
              <w:spacing w:line="300" w:lineRule="exact"/>
              <w:rPr>
                <w:b/>
                <w:color w:val="000000" w:themeColor="text1"/>
                <w:sz w:val="20"/>
                <w:szCs w:val="20"/>
              </w:rPr>
            </w:pPr>
            <w:r>
              <w:rPr>
                <w:b/>
                <w:color w:val="000000" w:themeColor="text1"/>
                <w:sz w:val="20"/>
                <w:szCs w:val="20"/>
              </w:rPr>
              <w:t>可以提供《重要环境因素清单》，其中重要环境因素：</w:t>
            </w:r>
            <w:r>
              <w:rPr>
                <w:rFonts w:hint="eastAsia"/>
                <w:b/>
                <w:color w:val="000000" w:themeColor="text1"/>
                <w:sz w:val="20"/>
                <w:szCs w:val="20"/>
              </w:rPr>
              <w:t>1</w:t>
            </w:r>
            <w:r>
              <w:rPr>
                <w:b/>
                <w:color w:val="000000" w:themeColor="text1"/>
                <w:sz w:val="20"/>
                <w:szCs w:val="20"/>
              </w:rPr>
              <w:t>.</w:t>
            </w:r>
            <w:r>
              <w:rPr>
                <w:rFonts w:hint="eastAsia"/>
                <w:b/>
                <w:color w:val="000000" w:themeColor="text1"/>
                <w:sz w:val="20"/>
                <w:szCs w:val="20"/>
              </w:rPr>
              <w:t>潜在火灾事故发生2. 固体废弃物处理</w:t>
            </w:r>
            <w:r>
              <w:rPr>
                <w:b/>
                <w:color w:val="000000" w:themeColor="text1"/>
                <w:sz w:val="20"/>
                <w:szCs w:val="20"/>
              </w:rPr>
              <w:t>，评价准确</w:t>
            </w:r>
            <w:r>
              <w:rPr>
                <w:rFonts w:hint="eastAsia"/>
                <w:b/>
                <w:color w:val="000000" w:themeColor="text1"/>
                <w:sz w:val="20"/>
                <w:szCs w:val="20"/>
              </w:rPr>
              <w:t>。</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b/>
                <w:color w:val="000000" w:themeColor="text1"/>
                <w:sz w:val="20"/>
                <w:szCs w:val="20"/>
              </w:rPr>
              <w:t>提供《危险源识别清单》，按照活动、区域进行了识别，包括：电脑、打印机、复印机产生的辐射；电源电器老化损坏、违章用电、地面油污水滑跌倒、障碍物挡路、交通事故等，评价基本全面</w:t>
            </w:r>
          </w:p>
          <w:p>
            <w:pPr>
              <w:spacing w:line="300" w:lineRule="exact"/>
              <w:rPr>
                <w:b/>
                <w:color w:val="000000" w:themeColor="text1"/>
                <w:sz w:val="20"/>
                <w:szCs w:val="20"/>
              </w:rPr>
            </w:pPr>
            <w:r>
              <w:rPr>
                <w:rFonts w:hint="eastAsia"/>
                <w:b/>
                <w:color w:val="000000" w:themeColor="text1"/>
                <w:sz w:val="20"/>
                <w:szCs w:val="20"/>
              </w:rPr>
              <w:t>提供《重大危险源清单》，评价潜在</w:t>
            </w:r>
            <w:r>
              <w:rPr>
                <w:b/>
                <w:color w:val="000000" w:themeColor="text1"/>
                <w:sz w:val="20"/>
                <w:szCs w:val="20"/>
              </w:rPr>
              <w:t>火灾</w:t>
            </w:r>
            <w:r>
              <w:rPr>
                <w:rFonts w:hint="eastAsia"/>
                <w:b/>
                <w:color w:val="000000" w:themeColor="text1"/>
                <w:sz w:val="20"/>
                <w:szCs w:val="20"/>
              </w:rPr>
              <w:t>、交通事故</w:t>
            </w:r>
            <w:r>
              <w:rPr>
                <w:b/>
                <w:color w:val="000000" w:themeColor="text1"/>
                <w:sz w:val="20"/>
                <w:szCs w:val="20"/>
              </w:rPr>
              <w:t>、触电</w:t>
            </w:r>
            <w:r>
              <w:rPr>
                <w:rFonts w:hint="eastAsia"/>
                <w:b/>
                <w:color w:val="000000" w:themeColor="text1"/>
                <w:sz w:val="20"/>
                <w:szCs w:val="20"/>
              </w:rPr>
              <w:t>为不可接受风险，评价准确。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MS Mincho" w:hAnsi="MS Mincho" w:eastAsia="MS Mincho" w:cs="MS Mincho"/>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MS Mincho" w:hAnsi="MS Mincho" w:eastAsia="MS Mincho" w:cs="MS Mincho"/>
                <w:szCs w:val="21"/>
              </w:rPr>
              <w:t>☑</w:t>
            </w:r>
            <w:r>
              <w:rPr>
                <w:rFonts w:hint="eastAsia" w:ascii="宋体" w:hAnsi="宋体"/>
                <w:b/>
                <w:color w:val="000000" w:themeColor="text1"/>
                <w:szCs w:val="21"/>
              </w:rPr>
              <w:t>产品/服务</w:t>
            </w:r>
            <w:r>
              <w:rPr>
                <w:rFonts w:hint="eastAsia" w:ascii="MS Mincho" w:hAnsi="MS Mincho" w:eastAsia="MS Mincho" w:cs="MS Mincho"/>
                <w:szCs w:val="21"/>
              </w:rPr>
              <w:t>☑</w:t>
            </w:r>
            <w:r>
              <w:rPr>
                <w:rFonts w:hint="eastAsia" w:ascii="宋体" w:hAnsi="宋体"/>
                <w:b/>
                <w:color w:val="000000" w:themeColor="text1"/>
                <w:szCs w:val="21"/>
              </w:rPr>
              <w:t>环境因</w:t>
            </w:r>
            <w:r>
              <w:rPr>
                <w:rFonts w:hint="eastAsia" w:ascii="MS Mincho" w:hAnsi="MS Mincho" w:eastAsia="MS Mincho" w:cs="MS Mincho"/>
                <w:szCs w:val="21"/>
              </w:rPr>
              <w:t>☑</w:t>
            </w:r>
            <w:r>
              <w:rPr>
                <w:rFonts w:hint="eastAsia" w:ascii="宋体" w:hAnsi="宋体"/>
                <w:b/>
                <w:color w:val="000000" w:themeColor="text1"/>
                <w:szCs w:val="21"/>
              </w:rPr>
              <w:t>危险源，</w:t>
            </w:r>
            <w:r>
              <w:rPr>
                <w:rFonts w:hint="eastAsia" w:ascii="MS Mincho" w:hAnsi="MS Mincho" w:eastAsia="MS Mincho" w:cs="MS Mincho"/>
                <w:szCs w:val="21"/>
              </w:rPr>
              <w:t>☑</w:t>
            </w:r>
            <w:r>
              <w:rPr>
                <w:rFonts w:hint="eastAsia" w:ascii="宋体" w:hAnsi="宋体"/>
                <w:b/>
                <w:color w:val="000000" w:themeColor="text1"/>
                <w:szCs w:val="21"/>
              </w:rPr>
              <w:t>确定 □未确定法律法规要求的具体条款，</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w:t>
            </w:r>
          </w:p>
          <w:p>
            <w:pPr>
              <w:pStyle w:val="15"/>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5. 目标、方案</w:t>
            </w:r>
          </w:p>
          <w:p>
            <w:pPr>
              <w:spacing w:line="30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（在相关层次上建立可测量的目标，目标、方案的有效性，对质量目标的实现情况进行评价并叙述测量方法）</w:t>
            </w:r>
          </w:p>
          <w:p>
            <w:pPr>
              <w:spacing w:line="24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公司管理目标是：</w:t>
            </w:r>
          </w:p>
          <w:p>
            <w:pPr>
              <w:spacing w:line="240" w:lineRule="exact"/>
              <w:rPr>
                <w:rFonts w:ascii="宋体" w:hAnsi="宋体"/>
                <w:b/>
                <w:bCs/>
                <w:color w:val="000000" w:themeColor="text1"/>
                <w:spacing w:val="-4"/>
                <w:sz w:val="20"/>
                <w:szCs w:val="20"/>
              </w:rPr>
            </w:pPr>
            <w:r>
              <w:rPr>
                <w:rFonts w:hint="eastAsia" w:ascii="宋体" w:hAnsi="宋体"/>
                <w:b/>
                <w:bCs/>
                <w:color w:val="000000" w:themeColor="text1"/>
                <w:spacing w:val="-4"/>
                <w:sz w:val="20"/>
                <w:szCs w:val="20"/>
              </w:rPr>
              <w:t>1）销售产品合格率98%；</w:t>
            </w:r>
          </w:p>
          <w:p>
            <w:pPr>
              <w:spacing w:line="240" w:lineRule="exact"/>
              <w:rPr>
                <w:rFonts w:ascii="宋体" w:hAnsi="宋体"/>
                <w:b/>
                <w:bCs/>
                <w:color w:val="000000" w:themeColor="text1"/>
                <w:spacing w:val="-4"/>
                <w:sz w:val="20"/>
                <w:szCs w:val="20"/>
              </w:rPr>
            </w:pPr>
            <w:r>
              <w:rPr>
                <w:rFonts w:hint="eastAsia" w:ascii="宋体" w:hAnsi="宋体"/>
                <w:b/>
                <w:bCs/>
                <w:color w:val="000000" w:themeColor="text1"/>
                <w:spacing w:val="-4"/>
                <w:sz w:val="20"/>
                <w:szCs w:val="20"/>
              </w:rPr>
              <w:t>2）产品交付及时率100%；</w:t>
            </w:r>
          </w:p>
          <w:p>
            <w:pPr>
              <w:spacing w:line="240" w:lineRule="exact"/>
              <w:rPr>
                <w:rFonts w:ascii="宋体" w:hAnsi="宋体"/>
                <w:b/>
                <w:bCs/>
                <w:color w:val="000000" w:themeColor="text1"/>
                <w:spacing w:val="-4"/>
                <w:sz w:val="20"/>
                <w:szCs w:val="20"/>
              </w:rPr>
            </w:pPr>
            <w:r>
              <w:rPr>
                <w:rFonts w:hint="eastAsia" w:ascii="宋体" w:hAnsi="宋体"/>
                <w:b/>
                <w:bCs/>
                <w:color w:val="000000" w:themeColor="text1"/>
                <w:spacing w:val="-4"/>
                <w:sz w:val="20"/>
                <w:szCs w:val="20"/>
              </w:rPr>
              <w:t>3）合同评审率100%；</w:t>
            </w:r>
          </w:p>
          <w:p>
            <w:pPr>
              <w:spacing w:line="240" w:lineRule="exact"/>
              <w:rPr>
                <w:rFonts w:ascii="宋体" w:hAnsi="宋体"/>
                <w:b/>
                <w:bCs/>
                <w:color w:val="000000" w:themeColor="text1"/>
                <w:spacing w:val="-4"/>
                <w:sz w:val="20"/>
                <w:szCs w:val="20"/>
              </w:rPr>
            </w:pPr>
            <w:r>
              <w:rPr>
                <w:rFonts w:hint="eastAsia" w:ascii="宋体" w:hAnsi="宋体"/>
                <w:b/>
                <w:bCs/>
                <w:color w:val="000000" w:themeColor="text1"/>
                <w:spacing w:val="-4"/>
                <w:sz w:val="20"/>
                <w:szCs w:val="20"/>
              </w:rPr>
              <w:t>4）顾客满意率95%以上</w:t>
            </w:r>
          </w:p>
          <w:p>
            <w:pPr>
              <w:spacing w:line="240" w:lineRule="exact"/>
              <w:rPr>
                <w:rFonts w:ascii="宋体" w:hAnsi="宋体"/>
                <w:b/>
                <w:bCs/>
                <w:color w:val="000000" w:themeColor="text1"/>
                <w:spacing w:val="-4"/>
                <w:sz w:val="20"/>
                <w:szCs w:val="20"/>
              </w:rPr>
            </w:pPr>
            <w:r>
              <w:rPr>
                <w:rFonts w:hint="eastAsia" w:ascii="宋体" w:hAnsi="宋体"/>
                <w:b/>
                <w:bCs/>
                <w:color w:val="000000" w:themeColor="text1"/>
                <w:spacing w:val="-4"/>
                <w:sz w:val="20"/>
                <w:szCs w:val="20"/>
              </w:rPr>
              <w:t>5)固体废弃物100%分类，合理处理；</w:t>
            </w:r>
          </w:p>
          <w:p>
            <w:pPr>
              <w:spacing w:line="240" w:lineRule="exact"/>
              <w:rPr>
                <w:rFonts w:ascii="宋体" w:hAnsi="宋体"/>
                <w:b/>
                <w:bCs/>
                <w:color w:val="000000" w:themeColor="text1"/>
                <w:spacing w:val="-4"/>
                <w:sz w:val="20"/>
                <w:szCs w:val="20"/>
              </w:rPr>
            </w:pPr>
            <w:r>
              <w:rPr>
                <w:rFonts w:hint="eastAsia" w:ascii="宋体" w:hAnsi="宋体"/>
                <w:b/>
                <w:bCs/>
                <w:color w:val="000000" w:themeColor="text1"/>
                <w:spacing w:val="-4"/>
                <w:sz w:val="20"/>
                <w:szCs w:val="20"/>
              </w:rPr>
              <w:t>6）环境污染事故发生率为零</w:t>
            </w:r>
          </w:p>
          <w:p>
            <w:pPr>
              <w:spacing w:line="240" w:lineRule="exact"/>
              <w:rPr>
                <w:rFonts w:ascii="宋体" w:hAnsi="宋体"/>
                <w:b/>
                <w:bCs/>
                <w:color w:val="000000" w:themeColor="text1"/>
                <w:spacing w:val="-4"/>
                <w:sz w:val="20"/>
                <w:szCs w:val="20"/>
              </w:rPr>
            </w:pPr>
            <w:r>
              <w:rPr>
                <w:rFonts w:hint="eastAsia" w:ascii="宋体" w:hAnsi="宋体"/>
                <w:b/>
                <w:bCs/>
                <w:color w:val="000000" w:themeColor="text1"/>
                <w:spacing w:val="-4"/>
                <w:sz w:val="20"/>
                <w:szCs w:val="20"/>
              </w:rPr>
              <w:t xml:space="preserve">7）各类重伤以上事故发生率为零； </w:t>
            </w:r>
          </w:p>
          <w:p>
            <w:pPr>
              <w:spacing w:line="240" w:lineRule="exact"/>
              <w:rPr>
                <w:rFonts w:ascii="宋体" w:hAnsi="宋体"/>
                <w:b/>
                <w:bCs/>
                <w:color w:val="000000" w:themeColor="text1"/>
                <w:spacing w:val="-4"/>
                <w:sz w:val="20"/>
                <w:szCs w:val="20"/>
              </w:rPr>
            </w:pPr>
            <w:r>
              <w:rPr>
                <w:rFonts w:hint="eastAsia" w:ascii="宋体" w:hAnsi="宋体"/>
                <w:b/>
                <w:bCs/>
                <w:color w:val="000000" w:themeColor="text1"/>
                <w:spacing w:val="-4"/>
                <w:sz w:val="20"/>
                <w:szCs w:val="20"/>
              </w:rPr>
              <w:t>8）火灾事故发生率为零。</w:t>
            </w:r>
          </w:p>
          <w:p>
            <w:pPr>
              <w:spacing w:line="24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目标可测量，与公司管理方针一致。</w:t>
            </w:r>
          </w:p>
          <w:p>
            <w:pPr>
              <w:spacing w:line="24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每年由综合部按公司管理目标考核要求统计考核公司管理目标完成情况，提交管理评审会议。查到2</w:t>
            </w:r>
            <w:r>
              <w:rPr>
                <w:rFonts w:ascii="宋体" w:hAnsi="宋体"/>
                <w:b/>
                <w:color w:val="000000" w:themeColor="text1"/>
                <w:spacing w:val="-4"/>
                <w:sz w:val="20"/>
                <w:szCs w:val="20"/>
              </w:rPr>
              <w:t>020</w:t>
            </w:r>
            <w:r>
              <w:rPr>
                <w:rFonts w:hint="eastAsia" w:ascii="宋体" w:hAnsi="宋体"/>
                <w:b/>
                <w:color w:val="000000" w:themeColor="text1"/>
                <w:spacing w:val="-4"/>
                <w:sz w:val="20"/>
                <w:szCs w:val="20"/>
              </w:rPr>
              <w:t>年7月-</w:t>
            </w:r>
            <w:r>
              <w:rPr>
                <w:rFonts w:ascii="宋体" w:hAnsi="宋体"/>
                <w:b/>
                <w:color w:val="000000" w:themeColor="text1"/>
                <w:spacing w:val="-4"/>
                <w:sz w:val="20"/>
                <w:szCs w:val="20"/>
              </w:rPr>
              <w:t>202</w:t>
            </w:r>
            <w:r>
              <w:rPr>
                <w:rFonts w:hint="eastAsia" w:ascii="宋体" w:hAnsi="宋体"/>
                <w:b/>
                <w:color w:val="000000" w:themeColor="text1"/>
                <w:spacing w:val="-4"/>
                <w:sz w:val="20"/>
                <w:szCs w:val="20"/>
                <w:lang w:val="en-US" w:eastAsia="zh-CN"/>
              </w:rPr>
              <w:t>1</w:t>
            </w:r>
            <w:r>
              <w:rPr>
                <w:rFonts w:hint="eastAsia" w:ascii="宋体" w:hAnsi="宋体"/>
                <w:b/>
                <w:color w:val="000000" w:themeColor="text1"/>
                <w:spacing w:val="-4"/>
                <w:sz w:val="20"/>
                <w:szCs w:val="20"/>
              </w:rPr>
              <w:t>年</w:t>
            </w:r>
            <w:r>
              <w:rPr>
                <w:rFonts w:hint="eastAsia" w:ascii="宋体" w:hAnsi="宋体"/>
                <w:b/>
                <w:color w:val="000000" w:themeColor="text1"/>
                <w:spacing w:val="-4"/>
                <w:sz w:val="20"/>
                <w:szCs w:val="20"/>
                <w:lang w:val="en-US" w:eastAsia="zh-CN"/>
              </w:rPr>
              <w:t>7</w:t>
            </w:r>
            <w:r>
              <w:rPr>
                <w:rFonts w:hint="eastAsia" w:ascii="宋体" w:hAnsi="宋体"/>
                <w:b/>
                <w:color w:val="000000" w:themeColor="text1"/>
                <w:spacing w:val="-4"/>
                <w:sz w:val="20"/>
                <w:szCs w:val="20"/>
              </w:rPr>
              <w:t>月，公司管理目标完成情况，各项目标均已完成，考核部门综合部。</w:t>
            </w:r>
          </w:p>
          <w:p>
            <w:pPr>
              <w:spacing w:line="240" w:lineRule="exact"/>
              <w:rPr>
                <w:rFonts w:ascii="宋体" w:hAnsi="宋体"/>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b/>
                <w:color w:val="000000" w:themeColor="text1"/>
                <w:sz w:val="20"/>
                <w:szCs w:val="20"/>
              </w:rPr>
              <w:t>管理体系文件由综合部组织编写，总经理批准发布实施，综合部打印传阅，公司文件柜存放，电子版本在电脑桌面上，每个人均可查阅。外来文件电子版本在电脑桌面上，每个人均可查阅。记录管理：综合部根据管理体系要求设计了空白表格，按照需求发放，由使用人员填写记录并保存，综合部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
                <w:color w:val="000000" w:themeColor="text1"/>
                <w:sz w:val="20"/>
                <w:szCs w:val="20"/>
              </w:rPr>
              <w:t>公司有员工</w:t>
            </w:r>
            <w:r>
              <w:rPr>
                <w:rFonts w:ascii="宋体" w:hAnsi="宋体"/>
                <w:b/>
                <w:color w:val="000000" w:themeColor="text1"/>
                <w:sz w:val="20"/>
                <w:szCs w:val="20"/>
              </w:rPr>
              <w:t>25</w:t>
            </w:r>
            <w:r>
              <w:rPr>
                <w:rFonts w:hint="eastAsia" w:ascii="宋体" w:hAnsi="宋体"/>
                <w:b/>
                <w:color w:val="000000" w:themeColor="text1"/>
                <w:sz w:val="20"/>
                <w:szCs w:val="20"/>
              </w:rPr>
              <w:t>人，管理人员</w:t>
            </w:r>
            <w:r>
              <w:rPr>
                <w:rFonts w:ascii="宋体" w:hAnsi="宋体"/>
                <w:b/>
                <w:color w:val="000000" w:themeColor="text1"/>
                <w:sz w:val="20"/>
                <w:szCs w:val="20"/>
              </w:rPr>
              <w:t>8</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主要办公设备有：电脑（主机+显示器）、描扫仪/打印机一体、黑色打印机、白色打印机、传真电话一体机、固定电话等，满足体系运行。</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主要生产设备有：</w:t>
            </w:r>
            <w:r>
              <w:rPr>
                <w:rFonts w:ascii="宋体" w:hAnsi="宋体"/>
                <w:b/>
                <w:color w:val="000000" w:themeColor="text1"/>
                <w:sz w:val="20"/>
                <w:szCs w:val="20"/>
              </w:rPr>
              <w:t>清洗机</w:t>
            </w:r>
            <w:r>
              <w:rPr>
                <w:rFonts w:hint="eastAsia" w:ascii="宋体" w:hAnsi="宋体"/>
                <w:b/>
                <w:color w:val="000000" w:themeColor="text1"/>
                <w:sz w:val="20"/>
                <w:szCs w:val="20"/>
              </w:rPr>
              <w:t>、增压泵、切割机等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办公面约</w:t>
            </w:r>
            <w:r>
              <w:rPr>
                <w:rFonts w:ascii="宋体" w:hAnsi="宋体"/>
                <w:b/>
                <w:color w:val="000000" w:themeColor="text1"/>
                <w:sz w:val="20"/>
                <w:szCs w:val="20"/>
              </w:rPr>
              <w:t>7</w:t>
            </w:r>
            <w:r>
              <w:rPr>
                <w:rFonts w:hint="eastAsia" w:ascii="宋体" w:hAnsi="宋体"/>
                <w:b/>
                <w:color w:val="000000" w:themeColor="text1"/>
                <w:sz w:val="20"/>
                <w:szCs w:val="20"/>
              </w:rPr>
              <w:t>00平米，工序布局合理，场所卫生干净整洁，配有通风设施，工作环境良好。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办公区有灭火器，并在有效期内。</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办公人员在工作前及工作结束后能够及时清理环境及关闭设备。</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工作环境得到良好的控制。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组织对服务质量进行检查、对顾客满意度进行调查，制定了对应表格。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公司确定了支持其经营生产适用的的50项法律、法规和其他要求。</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包含：</w:t>
            </w:r>
            <w:r>
              <w:rPr>
                <w:rFonts w:ascii="宋体" w:hAnsi="宋体"/>
                <w:b/>
                <w:color w:val="000000" w:themeColor="text1"/>
                <w:sz w:val="20"/>
                <w:szCs w:val="20"/>
              </w:rPr>
              <w:t>产品质量法、合同法、标准化法、招标投标法、</w:t>
            </w:r>
            <w:r>
              <w:rPr>
                <w:rFonts w:ascii="宋体" w:hAnsi="宋体"/>
                <w:b/>
                <w:bCs/>
                <w:color w:val="000000" w:themeColor="text1"/>
                <w:sz w:val="20"/>
                <w:szCs w:val="20"/>
              </w:rPr>
              <w:t>环境保护法、安全生产法、消防法、《中华人民共和国土壤污染防治法》、《中华人民共和国固体废物污染环境防治法》、《中华人民共和国水污染防治法》</w:t>
            </w:r>
            <w:r>
              <w:rPr>
                <w:rFonts w:ascii="宋体" w:hAnsi="宋体"/>
                <w:b/>
                <w:color w:val="000000" w:themeColor="text1"/>
                <w:sz w:val="20"/>
                <w:szCs w:val="20"/>
              </w:rPr>
              <w:t>《质量管理体系 要求》（GB/T19001-2016）、《质量管理体系 基础和术语》（GB/T19000-2016）、《环境管理体系 要求及使用指南》（GB/T 24001-2016）、《职业健康安全管理体系 要求及使用指南》（GB/T45001-2020）等</w:t>
            </w:r>
            <w:r>
              <w:rPr>
                <w:rFonts w:hint="eastAsia" w:ascii="宋体" w:hAnsi="宋体"/>
                <w:b/>
                <w:color w:val="000000" w:themeColor="text1"/>
                <w:sz w:val="20"/>
                <w:szCs w:val="20"/>
              </w:rPr>
              <w:t>，收集基本全面。主要来源为国家生态环境部等官方网站发布，及时与顾客沟通确保最新版本。</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对外来文件进行了登记识别，制定有年度培训计划，培训内容包含管理体系、环境因素识别、危险源辨识、内审培训、应急安全培训等内容。</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
                <w:color w:val="000000" w:themeColor="text1"/>
                <w:sz w:val="20"/>
                <w:szCs w:val="20"/>
              </w:rPr>
              <w:t>1.管理方针：</w:t>
            </w:r>
          </w:p>
          <w:p>
            <w:pPr>
              <w:spacing w:line="300" w:lineRule="exact"/>
              <w:ind w:left="1"/>
              <w:rPr>
                <w:b/>
                <w:bCs/>
                <w:color w:val="000000" w:themeColor="text1"/>
                <w:sz w:val="20"/>
                <w:szCs w:val="20"/>
              </w:rPr>
            </w:pPr>
            <w:r>
              <w:rPr>
                <w:rFonts w:hint="eastAsia"/>
                <w:b/>
                <w:bCs/>
                <w:color w:val="000000" w:themeColor="text1"/>
                <w:sz w:val="20"/>
                <w:szCs w:val="20"/>
              </w:rPr>
              <w:t>守法诚信追求质量，预防污染保护环境；</w:t>
            </w:r>
          </w:p>
          <w:p>
            <w:pPr>
              <w:spacing w:line="300" w:lineRule="exact"/>
              <w:ind w:left="1"/>
              <w:rPr>
                <w:b/>
                <w:bCs/>
                <w:color w:val="000000" w:themeColor="text1"/>
                <w:sz w:val="20"/>
                <w:szCs w:val="20"/>
              </w:rPr>
            </w:pPr>
            <w:r>
              <w:rPr>
                <w:rFonts w:hint="eastAsia"/>
                <w:b/>
                <w:bCs/>
                <w:color w:val="000000" w:themeColor="text1"/>
                <w:sz w:val="20"/>
                <w:szCs w:val="20"/>
              </w:rPr>
              <w:t>关爱员工健康安全，持续改进追求卓越。</w:t>
            </w:r>
          </w:p>
          <w:p>
            <w:pPr>
              <w:spacing w:line="300" w:lineRule="exact"/>
              <w:ind w:left="1"/>
              <w:rPr>
                <w:b/>
                <w:color w:val="000000" w:themeColor="text1"/>
                <w:sz w:val="20"/>
                <w:szCs w:val="20"/>
              </w:rPr>
            </w:pPr>
            <w:r>
              <w:rPr>
                <w:b/>
                <w:color w:val="000000" w:themeColor="text1"/>
                <w:sz w:val="20"/>
                <w:szCs w:val="20"/>
              </w:rPr>
              <w:t>2.</w:t>
            </w:r>
            <w:r>
              <w:rPr>
                <w:rFonts w:hint="eastAsia"/>
                <w:b/>
                <w:color w:val="000000" w:themeColor="text1"/>
                <w:sz w:val="20"/>
                <w:szCs w:val="20"/>
              </w:rPr>
              <w:t>管理方针与企业的经营宗旨相适应，协调；</w:t>
            </w:r>
          </w:p>
          <w:p>
            <w:pPr>
              <w:spacing w:line="300" w:lineRule="exact"/>
              <w:ind w:left="1"/>
              <w:rPr>
                <w:b/>
                <w:color w:val="000000" w:themeColor="text1"/>
                <w:sz w:val="20"/>
                <w:szCs w:val="20"/>
              </w:rPr>
            </w:pPr>
            <w:r>
              <w:rPr>
                <w:b/>
                <w:color w:val="000000" w:themeColor="text1"/>
                <w:sz w:val="20"/>
                <w:szCs w:val="20"/>
              </w:rPr>
              <w:t>3.</w:t>
            </w:r>
            <w:r>
              <w:rPr>
                <w:rFonts w:hint="eastAsia"/>
                <w:b/>
                <w:color w:val="000000" w:themeColor="text1"/>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
                <w:bCs/>
                <w:color w:val="000000" w:themeColor="text1"/>
                <w:sz w:val="20"/>
                <w:szCs w:val="20"/>
              </w:rPr>
            </w:pPr>
            <w:r>
              <w:rPr>
                <w:rFonts w:hint="eastAsia"/>
                <w:b/>
                <w:bCs/>
                <w:color w:val="000000" w:themeColor="text1"/>
                <w:sz w:val="20"/>
                <w:szCs w:val="20"/>
              </w:rPr>
              <w:t>内部沟通的情况：内部沟通方式：文件、会议、电话、网络、面谈等方式进行内部沟通</w:t>
            </w:r>
          </w:p>
          <w:p>
            <w:pPr>
              <w:spacing w:line="240" w:lineRule="exact"/>
              <w:rPr>
                <w:b/>
                <w:bCs/>
                <w:color w:val="000000" w:themeColor="text1"/>
                <w:sz w:val="20"/>
                <w:szCs w:val="20"/>
              </w:rPr>
            </w:pPr>
            <w:r>
              <w:rPr>
                <w:rFonts w:hint="eastAsia"/>
                <w:b/>
                <w:bCs/>
                <w:color w:val="000000" w:themeColor="text1"/>
                <w:sz w:val="20"/>
                <w:szCs w:val="20"/>
              </w:rPr>
              <w:t xml:space="preserve">                内部沟通的效果：沟通较为顺畅</w:t>
            </w:r>
          </w:p>
          <w:p>
            <w:pPr>
              <w:spacing w:line="240" w:lineRule="exact"/>
              <w:rPr>
                <w:b/>
                <w:bCs/>
                <w:color w:val="000000" w:themeColor="text1"/>
                <w:sz w:val="20"/>
                <w:szCs w:val="20"/>
              </w:rPr>
            </w:pPr>
          </w:p>
          <w:p>
            <w:pPr>
              <w:spacing w:line="240" w:lineRule="exact"/>
              <w:rPr>
                <w:b/>
                <w:bCs/>
                <w:color w:val="000000" w:themeColor="text1"/>
                <w:sz w:val="20"/>
                <w:szCs w:val="20"/>
              </w:rPr>
            </w:pPr>
            <w:r>
              <w:rPr>
                <w:rFonts w:hint="eastAsia"/>
                <w:b/>
                <w:bCs/>
                <w:color w:val="000000" w:themeColor="text1"/>
                <w:sz w:val="20"/>
                <w:szCs w:val="20"/>
              </w:rPr>
              <w:t>组织对外联络，关注顾客的感受情况（QMS）：对顾客回访，进行满意度调查。</w:t>
            </w:r>
          </w:p>
          <w:p>
            <w:pPr>
              <w:spacing w:line="240" w:lineRule="exact"/>
              <w:rPr>
                <w:b/>
                <w:bCs/>
                <w:color w:val="000000" w:themeColor="text1"/>
                <w:sz w:val="20"/>
                <w:szCs w:val="20"/>
              </w:rPr>
            </w:pPr>
            <w:r>
              <w:rPr>
                <w:rFonts w:hint="eastAsia"/>
                <w:b/>
                <w:bCs/>
                <w:color w:val="000000" w:themeColor="text1"/>
                <w:sz w:val="20"/>
                <w:szCs w:val="20"/>
              </w:rPr>
              <w:t>外部信息的接收、成文并答复的情况（E、S填写）：与上级主管部门的沟通，目前沟通都较为顺畅。</w:t>
            </w:r>
          </w:p>
          <w:p>
            <w:pPr>
              <w:spacing w:line="240" w:lineRule="exact"/>
              <w:rPr>
                <w:b/>
                <w:bCs/>
                <w:color w:val="000000" w:themeColor="text1"/>
                <w:sz w:val="20"/>
                <w:szCs w:val="20"/>
              </w:rPr>
            </w:pPr>
            <w:r>
              <w:rPr>
                <w:rFonts w:hint="eastAsia"/>
                <w:b/>
                <w:bCs/>
                <w:color w:val="000000" w:themeColor="text1"/>
                <w:sz w:val="20"/>
                <w:szCs w:val="20"/>
              </w:rPr>
              <w:t>重要环境因素信息对外交流情况（EMS填写）：外部沟通：文件、会议、电话、面谈、网络等，主要与顾客、供方、上级主管部门的沟通，目前各项沟通都较为顺畅。</w:t>
            </w:r>
          </w:p>
          <w:p>
            <w:pPr>
              <w:spacing w:line="240" w:lineRule="exact"/>
              <w:rPr>
                <w:b/>
                <w:bCs/>
                <w:color w:val="000000" w:themeColor="text1"/>
                <w:sz w:val="20"/>
                <w:szCs w:val="20"/>
              </w:rPr>
            </w:pPr>
            <w:r>
              <w:rPr>
                <w:rFonts w:hint="eastAsia"/>
                <w:b/>
                <w:bCs/>
                <w:color w:val="000000" w:themeColor="text1"/>
                <w:sz w:val="20"/>
                <w:szCs w:val="20"/>
              </w:rPr>
              <w:t>OHSMS事务代表协商和交流的情况（OHSMS填写）：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themeColor="text1"/>
                <w:szCs w:val="21"/>
              </w:rPr>
            </w:pPr>
            <w:r>
              <w:rPr>
                <w:rFonts w:hint="eastAsia"/>
                <w:b/>
                <w:bCs/>
                <w:color w:val="000000" w:themeColor="text1"/>
                <w:sz w:val="20"/>
                <w:szCs w:val="20"/>
              </w:rPr>
              <w:t>与相关方协商的情况（OHSMS填写）：协商沟通良好。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1.与顾客有关过程的控制：主要根据顾客提出的产品和服务要求/标书中明示要求等进行控制，要求进行合同评审确保能满足客户需求，在签订正式合同前，由业务部组织进行合同评审，目前控制情况符合要求。</w:t>
            </w:r>
          </w:p>
          <w:p>
            <w:pPr>
              <w:spacing w:line="240" w:lineRule="exact"/>
              <w:rPr>
                <w:b/>
                <w:color w:val="000000" w:themeColor="text1"/>
                <w:sz w:val="20"/>
                <w:szCs w:val="20"/>
              </w:rPr>
            </w:pPr>
            <w:r>
              <w:rPr>
                <w:rFonts w:hint="eastAsia"/>
                <w:b/>
                <w:color w:val="000000" w:themeColor="text1"/>
                <w:sz w:val="20"/>
                <w:szCs w:val="20"/>
              </w:rPr>
              <w:t>2.采购过程控制：主要采购办公用品、软件等，编制采购产品验收规范等作业文件规定采购产品质量要求；其次对供方进行了评价，外包过程无。</w:t>
            </w:r>
          </w:p>
          <w:p>
            <w:pPr>
              <w:spacing w:line="240" w:lineRule="exact"/>
              <w:rPr>
                <w:b/>
                <w:color w:val="000000" w:themeColor="text1"/>
                <w:sz w:val="20"/>
                <w:szCs w:val="20"/>
              </w:rPr>
            </w:pPr>
            <w:r>
              <w:rPr>
                <w:rFonts w:hint="eastAsia"/>
                <w:b/>
                <w:color w:val="000000" w:themeColor="text1"/>
                <w:sz w:val="20"/>
                <w:szCs w:val="20"/>
              </w:rPr>
              <w:t>3.生产和服务提供的控制：根据国家法律法规要求、顾客要求，编制了《与顾客有关的过程控制程序》、《服务过程控制程序》、《顾客满意管理程序》《各部门岗位职责和工作标准》，由项目负责人组织人员、物资等资源进行服务，通过服务流程表进行跟踪，评审完成情况、服务质量等，目前服务过程控制情况较好。</w:t>
            </w:r>
          </w:p>
          <w:p>
            <w:pPr>
              <w:spacing w:line="240" w:lineRule="exact"/>
              <w:rPr>
                <w:b/>
                <w:color w:val="000000" w:themeColor="text1"/>
                <w:sz w:val="20"/>
                <w:szCs w:val="20"/>
              </w:rPr>
            </w:pPr>
            <w:r>
              <w:rPr>
                <w:rFonts w:hint="eastAsia"/>
                <w:b/>
                <w:color w:val="000000" w:themeColor="text1"/>
                <w:sz w:val="20"/>
                <w:szCs w:val="20"/>
              </w:rPr>
              <w:t>4.产品和服务的放行：根据顾客要求进行服务，提供服务后由顾客确认，并部门主管对服务质量进行检查。收集顾客的反馈信息，开展顾客满意度调查，包括顾客抱怨和投诉，体系建立以来未发生顾客投诉事件。</w:t>
            </w:r>
          </w:p>
          <w:p>
            <w:pPr>
              <w:spacing w:line="240" w:lineRule="exact"/>
              <w:rPr>
                <w:b/>
                <w:color w:val="000000" w:themeColor="text1"/>
                <w:sz w:val="20"/>
                <w:szCs w:val="20"/>
              </w:rPr>
            </w:pPr>
            <w:r>
              <w:rPr>
                <w:rFonts w:hint="eastAsia"/>
                <w:b/>
                <w:color w:val="000000" w:themeColor="text1"/>
                <w:sz w:val="20"/>
                <w:szCs w:val="20"/>
              </w:rPr>
              <w:t>5.变更的控制：销售合同/协议评审后，按合同要求进行服务，如发现服务与顾客要求不一致的，与客户商量，重新签订合同，交货期延期的，与顾客商量，得到顾客确认后，再及时调整，并对延期的原因进行分析，避免下次再发生，经了解，目前没有发生对生产和服务提供的更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主要满足客户要求，目前向顾客提供的服务均符合要求，提供有客户验收证明。</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编制环境因素识别与评价控制程序、环境安全运行控制程序、废弃物控制程序、节能降耗控制程序、消防安全管理制度、办公室安全管理制度、车辆管理规定、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p>
            <w:pPr>
              <w:spacing w:line="240" w:lineRule="exact"/>
              <w:rPr>
                <w:b/>
                <w:color w:val="000000" w:themeColor="text1"/>
                <w:sz w:val="20"/>
                <w:szCs w:val="20"/>
              </w:rPr>
            </w:pPr>
            <w:r>
              <w:rPr>
                <w:rFonts w:hint="eastAsia"/>
                <w:b/>
                <w:color w:val="000000" w:themeColor="text1"/>
                <w:sz w:val="20"/>
                <w:szCs w:val="20"/>
                <w:lang w:val="en-GB"/>
              </w:rPr>
              <w:t>编制</w:t>
            </w:r>
            <w:r>
              <w:rPr>
                <w:rFonts w:hint="eastAsia"/>
                <w:b/>
                <w:color w:val="000000" w:themeColor="text1"/>
                <w:sz w:val="20"/>
                <w:szCs w:val="20"/>
              </w:rPr>
              <w:t>危险源识别、风险评价控制程序，环境安全运行控制程序，消防安全管理制度，</w:t>
            </w:r>
            <w:r>
              <w:rPr>
                <w:rFonts w:hint="eastAsia"/>
                <w:b/>
                <w:color w:val="000000" w:themeColor="text1"/>
                <w:sz w:val="20"/>
                <w:szCs w:val="20"/>
                <w:lang w:val="en-GB"/>
              </w:rPr>
              <w:t>办公室安全管理制度，车辆管理规定，电脑使用管理办法，服务人员工作规范等，针对各部门所负责的工作，对危险源进行控制</w:t>
            </w:r>
            <w:r>
              <w:rPr>
                <w:rFonts w:hint="eastAsia"/>
                <w:b/>
                <w:color w:val="000000" w:themeColor="text1"/>
                <w:sz w:val="20"/>
                <w:szCs w:val="20"/>
              </w:rPr>
              <w:t>涉及有</w:t>
            </w:r>
            <w:r>
              <w:rPr>
                <w:rFonts w:hint="eastAsia"/>
                <w:b/>
                <w:color w:val="000000" w:themeColor="text1"/>
                <w:sz w:val="20"/>
                <w:szCs w:val="20"/>
                <w:lang w:val="en-GB"/>
              </w:rPr>
              <w:t>火灾、触电、</w:t>
            </w:r>
            <w:r>
              <w:rPr>
                <w:rFonts w:hint="eastAsia"/>
                <w:b/>
                <w:color w:val="000000" w:themeColor="text1"/>
                <w:sz w:val="20"/>
                <w:szCs w:val="20"/>
              </w:rPr>
              <w:t>车辆</w:t>
            </w:r>
            <w:r>
              <w:rPr>
                <w:rFonts w:hint="eastAsia"/>
                <w:b/>
                <w:color w:val="000000" w:themeColor="text1"/>
                <w:sz w:val="20"/>
                <w:szCs w:val="20"/>
                <w:lang w:val="en-GB"/>
              </w:rPr>
              <w:t>伤害</w:t>
            </w:r>
            <w:r>
              <w:rPr>
                <w:rFonts w:hint="eastAsia"/>
                <w:b/>
                <w:color w:val="000000" w:themeColor="text1"/>
                <w:sz w:val="20"/>
                <w:szCs w:val="20"/>
              </w:rPr>
              <w:t>、相关方施加影响等进行控制，具体措施有对员工进行安全教育，发放劳保用品</w:t>
            </w:r>
            <w:r>
              <w:rPr>
                <w:rFonts w:hint="eastAsia"/>
                <w:b/>
                <w:bCs/>
                <w:color w:val="000000" w:themeColor="text1"/>
                <w:sz w:val="20"/>
                <w:szCs w:val="20"/>
              </w:rPr>
              <w:t>。</w:t>
            </w:r>
            <w:r>
              <w:rPr>
                <w:rFonts w:hint="eastAsia"/>
                <w:b/>
                <w:color w:val="000000" w:themeColor="text1"/>
                <w:sz w:val="20"/>
                <w:szCs w:val="20"/>
              </w:rPr>
              <w:t>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b/>
                <w:color w:val="000000" w:themeColor="text1"/>
                <w:spacing w:val="-4"/>
                <w:sz w:val="20"/>
                <w:szCs w:val="20"/>
                <w:lang w:val="en-GB"/>
              </w:rPr>
              <w:t>编制应急准备和响应控制程序，识别的潜在意外紧急情况为火灾、触电等。编制了应急预案，组织了消防演练</w:t>
            </w:r>
            <w:r>
              <w:rPr>
                <w:rFonts w:hint="eastAsia"/>
                <w:b/>
                <w:color w:val="000000" w:themeColor="text1"/>
                <w:spacing w:val="-4"/>
                <w:sz w:val="20"/>
                <w:szCs w:val="20"/>
              </w:rPr>
              <w:t>演练</w:t>
            </w:r>
            <w:r>
              <w:rPr>
                <w:rFonts w:hint="eastAsia"/>
                <w:b/>
                <w:color w:val="000000" w:themeColor="text1"/>
                <w:spacing w:val="-4"/>
                <w:sz w:val="20"/>
                <w:szCs w:val="20"/>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r>
              <w:rPr>
                <w:rFonts w:hint="eastAsia"/>
                <w:b/>
                <w:color w:val="000000" w:themeColor="text1"/>
                <w:sz w:val="20"/>
                <w:szCs w:val="20"/>
              </w:rPr>
              <w:t>提供了文件化可分解的目标、指标，经查问分解到各部门，经查阅建立的管理目标符合标准要求，在方针的框架下展开，每季度考核一次，查看2020年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r>
              <w:rPr>
                <w:rFonts w:hint="eastAsia"/>
                <w:b/>
                <w:color w:val="000000" w:themeColor="text1"/>
                <w:sz w:val="20"/>
                <w:szCs w:val="20"/>
              </w:rPr>
              <w:t>公司通过电话、网络、走访等形式，接受顾客反馈，了解顾客顾客满意度信息，发放调查表对顾客满意度进行定量测量。提供“顾客满意程度调查表”，调查主要内容：质量、价格、交货期、服务等方面的满意程度等，各项得分求平均值得最终结果。提供“顾客满意程度统计分析表”，得出顾客满意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
                <w:color w:val="000000" w:themeColor="text1"/>
                <w:sz w:val="20"/>
                <w:szCs w:val="20"/>
              </w:rPr>
              <w:t>按照策划的安排于</w:t>
            </w:r>
            <w:r>
              <w:rPr>
                <w:b/>
                <w:color w:val="000000" w:themeColor="text1"/>
                <w:sz w:val="20"/>
                <w:szCs w:val="20"/>
              </w:rPr>
              <w:t>20</w:t>
            </w:r>
            <w:r>
              <w:rPr>
                <w:rFonts w:hint="eastAsia"/>
                <w:b/>
                <w:color w:val="000000" w:themeColor="text1"/>
                <w:sz w:val="20"/>
                <w:szCs w:val="20"/>
              </w:rPr>
              <w:t>20年</w:t>
            </w:r>
            <w:r>
              <w:rPr>
                <w:b/>
                <w:color w:val="000000" w:themeColor="text1"/>
                <w:sz w:val="20"/>
                <w:szCs w:val="20"/>
              </w:rPr>
              <w:t>9</w:t>
            </w:r>
            <w:r>
              <w:rPr>
                <w:rFonts w:hint="eastAsia"/>
                <w:b/>
                <w:color w:val="000000" w:themeColor="text1"/>
                <w:sz w:val="20"/>
                <w:szCs w:val="20"/>
              </w:rPr>
              <w:t>月</w:t>
            </w:r>
            <w:r>
              <w:rPr>
                <w:b/>
                <w:color w:val="000000" w:themeColor="text1"/>
                <w:sz w:val="20"/>
                <w:szCs w:val="20"/>
              </w:rPr>
              <w:t>25</w:t>
            </w:r>
            <w:r>
              <w:rPr>
                <w:rFonts w:hint="eastAsia"/>
                <w:b/>
                <w:color w:val="000000" w:themeColor="text1"/>
                <w:sz w:val="20"/>
                <w:szCs w:val="20"/>
              </w:rPr>
              <w:t>日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b/>
                <w:color w:val="000000" w:themeColor="text1"/>
                <w:sz w:val="20"/>
                <w:szCs w:val="20"/>
              </w:rPr>
              <w:t>按照策划的安排于</w:t>
            </w:r>
            <w:r>
              <w:rPr>
                <w:b/>
                <w:color w:val="000000" w:themeColor="text1"/>
                <w:sz w:val="20"/>
                <w:szCs w:val="20"/>
              </w:rPr>
              <w:t>20</w:t>
            </w:r>
            <w:r>
              <w:rPr>
                <w:rFonts w:hint="eastAsia"/>
                <w:b/>
                <w:color w:val="000000" w:themeColor="text1"/>
                <w:sz w:val="20"/>
                <w:szCs w:val="20"/>
              </w:rPr>
              <w:t>20年</w:t>
            </w:r>
            <w:r>
              <w:rPr>
                <w:b/>
                <w:color w:val="000000" w:themeColor="text1"/>
                <w:sz w:val="20"/>
                <w:szCs w:val="20"/>
              </w:rPr>
              <w:t>9</w:t>
            </w:r>
            <w:r>
              <w:rPr>
                <w:rFonts w:hint="eastAsia"/>
                <w:b/>
                <w:color w:val="000000" w:themeColor="text1"/>
                <w:sz w:val="20"/>
                <w:szCs w:val="20"/>
              </w:rPr>
              <w:t>月3</w:t>
            </w:r>
            <w:r>
              <w:rPr>
                <w:b/>
                <w:color w:val="000000" w:themeColor="text1"/>
                <w:sz w:val="20"/>
                <w:szCs w:val="20"/>
              </w:rPr>
              <w:t>0</w:t>
            </w:r>
            <w:r>
              <w:rPr>
                <w:rFonts w:hint="eastAsia"/>
                <w:b/>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1 纠正/预防措施的实施及效果;</w:t>
            </w:r>
          </w:p>
          <w:p>
            <w:pPr>
              <w:spacing w:line="240" w:lineRule="exact"/>
              <w:rPr>
                <w:rFonts w:hint="eastAsia"/>
                <w:b/>
                <w:color w:val="000000" w:themeColor="text1"/>
                <w:sz w:val="20"/>
                <w:szCs w:val="20"/>
              </w:rPr>
            </w:pPr>
            <w:r>
              <w:rPr>
                <w:rFonts w:hint="eastAsia"/>
                <w:b/>
                <w:color w:val="000000" w:themeColor="text1"/>
                <w:sz w:val="20"/>
                <w:szCs w:val="20"/>
              </w:rPr>
              <w:t>对内审提出的不符合进行原因分析，并完成了整改。对管理评审提出的不符合及改进要求，进行原因分析，制定了具体措施，目前已实施完成。纠正措施尚可，预防措施欠缺。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2（近一年）重大事故、顾客/相关方投诉：：</w:t>
            </w:r>
          </w:p>
          <w:p>
            <w:pPr>
              <w:spacing w:line="240" w:lineRule="exact"/>
              <w:rPr>
                <w:rFonts w:hint="eastAsia"/>
                <w:b/>
                <w:color w:val="000000" w:themeColor="text1"/>
                <w:sz w:val="20"/>
                <w:szCs w:val="20"/>
              </w:rPr>
            </w:pPr>
          </w:p>
          <w:p>
            <w:pPr>
              <w:spacing w:line="240" w:lineRule="exact"/>
              <w:rPr>
                <w:rFonts w:hint="eastAsia"/>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b/>
                <w:color w:val="000000" w:themeColor="text1"/>
                <w:sz w:val="20"/>
                <w:szCs w:val="20"/>
              </w:rPr>
            </w:pPr>
            <w:r>
              <w:rPr>
                <w:rFonts w:hint="eastAsia"/>
                <w:b/>
                <w:color w:val="000000" w:themeColor="text1"/>
                <w:sz w:val="20"/>
                <w:szCs w:val="20"/>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zCs w:val="21"/>
              </w:rPr>
            </w:pPr>
            <w:r>
              <w:rPr>
                <w:rFonts w:hint="eastAsia"/>
                <w:b/>
                <w:color w:val="000000" w:themeColor="text1"/>
                <w:szCs w:val="21"/>
              </w:rPr>
              <w:t>上次不符合的整改情况（再认证填写）</w:t>
            </w:r>
          </w:p>
          <w:p>
            <w:pPr>
              <w:spacing w:before="120" w:line="360" w:lineRule="auto"/>
              <w:rPr>
                <w:rFonts w:hint="default" w:ascii="方正仿宋简体" w:eastAsia="方正仿宋简体"/>
                <w:b/>
                <w:lang w:val="en-US" w:eastAsia="zh-CN"/>
              </w:rPr>
            </w:pPr>
            <w:r>
              <w:rPr>
                <w:rFonts w:hint="eastAsia"/>
                <w:b/>
                <w:color w:val="000000" w:themeColor="text1"/>
                <w:szCs w:val="21"/>
                <w:lang w:val="en-US" w:eastAsia="zh-CN"/>
              </w:rPr>
              <w:t>远程审核问题：</w:t>
            </w:r>
            <w:bookmarkStart w:id="22" w:name="_GoBack"/>
            <w:r>
              <w:rPr>
                <w:rFonts w:hint="eastAsia"/>
                <w:b/>
                <w:color w:val="000000" w:themeColor="text1"/>
                <w:szCs w:val="21"/>
              </w:rPr>
              <w:t>公司未提供对外部供方施加环境职业健康安全方面影响的证据。</w:t>
            </w:r>
            <w:r>
              <w:rPr>
                <w:rFonts w:hint="eastAsia"/>
                <w:b/>
                <w:color w:val="000000" w:themeColor="text1"/>
                <w:szCs w:val="21"/>
                <w:lang w:val="en-US" w:eastAsia="zh-CN"/>
              </w:rPr>
              <w:t>此次已经验证，整改有效</w:t>
            </w:r>
          </w:p>
          <w:bookmarkEnd w:id="22"/>
          <w:p>
            <w:pPr>
              <w:numPr>
                <w:ilvl w:val="0"/>
                <w:numId w:val="0"/>
              </w:numPr>
              <w:spacing w:line="240" w:lineRule="exact"/>
              <w:rPr>
                <w:rFonts w:hint="default" w:eastAsia="宋体"/>
                <w:b/>
                <w:color w:val="000000" w:themeColor="text1"/>
                <w:szCs w:val="21"/>
                <w:lang w:val="en-US" w:eastAsia="zh-CN"/>
              </w:rPr>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 </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严重不符合0项，一般不符合</w:t>
      </w:r>
      <w:r>
        <w:rPr>
          <w:rFonts w:hint="eastAsia"/>
          <w:b/>
          <w:color w:val="000000" w:themeColor="text1"/>
          <w:lang w:val="en-US" w:eastAsia="zh-CN"/>
        </w:rPr>
        <w:t xml:space="preserve"> </w:t>
      </w:r>
      <w:r>
        <w:rPr>
          <w:rFonts w:hint="eastAsia"/>
          <w:b/>
          <w:color w:val="000000" w:themeColor="text1"/>
        </w:rPr>
        <w:t>项</w:t>
      </w:r>
    </w:p>
    <w:p>
      <w:pPr>
        <w:tabs>
          <w:tab w:val="left" w:pos="9072"/>
        </w:tabs>
        <w:spacing w:line="360" w:lineRule="auto"/>
        <w:ind w:left="-993" w:leftChars="-473" w:firstLine="2"/>
        <w:rPr>
          <w:b/>
          <w:color w:val="000000" w:themeColor="text1"/>
        </w:rPr>
      </w:pP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MS Mincho" w:hAnsi="MS Mincho" w:eastAsia="MS Mincho" w:cs="MS Mincho"/>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12"/>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9" w:leftChars="-337" w:hanging="569" w:hangingChars="271"/>
        <w:rPr>
          <w:rFonts w:ascii="宋体" w:hAnsi="宋体"/>
          <w:b/>
          <w:color w:val="000000" w:themeColor="text1"/>
          <w:szCs w:val="21"/>
        </w:rPr>
      </w:pPr>
      <w:r>
        <w:rPr>
          <w:rFonts w:hint="eastAsia" w:ascii="MS Mincho" w:hAnsi="MS Mincho" w:eastAsia="MS Mincho" w:cs="MS Mincho"/>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1"/>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MS Mincho" w:hAnsi="MS Mincho" w:eastAsia="MS Mincho" w:cs="MS Mincho"/>
                <w:szCs w:val="21"/>
              </w:rPr>
              <w:t>☑</w:t>
            </w:r>
            <w:r>
              <w:rPr>
                <w:rFonts w:hint="eastAsia"/>
                <w:b/>
                <w:color w:val="000000" w:themeColor="text1"/>
                <w:sz w:val="22"/>
                <w:szCs w:val="22"/>
              </w:rPr>
              <w:t>QMS</w:t>
            </w:r>
            <w:r>
              <w:rPr>
                <w:rFonts w:hint="eastAsia" w:ascii="MS Mincho" w:hAnsi="MS Mincho" w:eastAsia="MS Mincho" w:cs="MS Mincho"/>
                <w:szCs w:val="21"/>
              </w:rPr>
              <w:t>☑</w:t>
            </w:r>
            <w:r>
              <w:rPr>
                <w:rFonts w:hint="eastAsia"/>
                <w:b/>
                <w:color w:val="000000" w:themeColor="text1"/>
                <w:sz w:val="22"/>
                <w:szCs w:val="22"/>
              </w:rPr>
              <w:t xml:space="preserve">EMS  </w:t>
            </w:r>
            <w:r>
              <w:rPr>
                <w:rFonts w:hint="eastAsia" w:ascii="MS Mincho" w:hAnsi="MS Mincho" w:eastAsia="MS Mincho" w:cs="MS Mincho"/>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1"/>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楷体" w:hAnsi="楷体" w:eastAsia="楷体"/>
                <w:b/>
                <w:color w:val="000000" w:themeColor="text1"/>
                <w:sz w:val="32"/>
                <w:szCs w:val="32"/>
                <w:u w:val="single"/>
              </w:rPr>
              <w:t>中瑞恒（北京）科技有限公司</w:t>
            </w:r>
            <w:r>
              <w:rPr>
                <w:rFonts w:hint="eastAsia"/>
                <w:color w:val="auto"/>
                <w:kern w:val="2"/>
                <w:sz w:val="21"/>
                <w:szCs w:val="21"/>
                <w:lang w:val="en-GB"/>
              </w:rPr>
              <w:t>的</w:t>
            </w:r>
          </w:p>
          <w:p>
            <w:pPr>
              <w:pStyle w:val="21"/>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1"/>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rPr>
            </w:pPr>
          </w:p>
          <w:p>
            <w:pPr>
              <w:spacing w:line="280" w:lineRule="exact"/>
              <w:ind w:left="221" w:hanging="221" w:hangingChars="100"/>
              <w:rPr>
                <w:rFonts w:hint="eastAsia"/>
                <w:b/>
                <w:color w:val="000000" w:themeColor="text1"/>
                <w:sz w:val="22"/>
                <w:szCs w:val="22"/>
              </w:rPr>
            </w:pPr>
          </w:p>
          <w:p>
            <w:pPr>
              <w:spacing w:line="240" w:lineRule="exact"/>
              <w:rPr>
                <w:b/>
                <w:color w:val="000000" w:themeColor="text1"/>
                <w:sz w:val="22"/>
                <w:szCs w:val="22"/>
              </w:rPr>
            </w:pPr>
            <w:r>
              <w:rPr>
                <w:rFonts w:hint="eastAsia" w:ascii="MS Mincho" w:hAnsi="MS Mincho" w:eastAsia="MS Mincho" w:cs="MS Mincho"/>
                <w:szCs w:val="21"/>
              </w:rPr>
              <w:t>☑</w:t>
            </w:r>
            <w:r>
              <w:rPr>
                <w:rFonts w:hint="eastAsia"/>
                <w:b/>
                <w:color w:val="000000" w:themeColor="text1"/>
                <w:sz w:val="22"/>
                <w:szCs w:val="22"/>
              </w:rPr>
              <w:t xml:space="preserve">QMS  </w:t>
            </w:r>
            <w:r>
              <w:rPr>
                <w:rFonts w:hint="eastAsia" w:ascii="MS Mincho" w:hAnsi="MS Mincho" w:eastAsia="MS Mincho" w:cs="MS Mincho"/>
                <w:szCs w:val="21"/>
              </w:rPr>
              <w:t>☑</w:t>
            </w:r>
            <w:r>
              <w:rPr>
                <w:rFonts w:hint="eastAsia"/>
                <w:b/>
                <w:color w:val="000000" w:themeColor="text1"/>
                <w:sz w:val="22"/>
                <w:szCs w:val="22"/>
              </w:rPr>
              <w:t xml:space="preserve">EMS  </w:t>
            </w:r>
            <w:r>
              <w:rPr>
                <w:rFonts w:hint="eastAsia" w:ascii="MS Mincho" w:hAnsi="MS Mincho" w:eastAsia="MS Mincho" w:cs="MS Mincho"/>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MS Mincho" w:hAnsi="MS Mincho" w:eastAsia="MS Mincho" w:cs="MS Mincho"/>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lang w:val="en-GB"/>
              </w:rPr>
            </w:pP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ascii="MS Mincho" w:hAnsi="MS Mincho" w:cs="MS Mincho"/>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10"/>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2"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sz w:val="24"/>
          <w:szCs w:val="20"/>
        </w:rPr>
        <w:drawing>
          <wp:inline distT="0" distB="0" distL="0" distR="0">
            <wp:extent cx="609600" cy="342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biLevel thresh="50000"/>
                      <a:grayscl/>
                      <a:extLst>
                        <a:ext uri="{28A0092B-C50C-407E-A947-70E740481C1C}">
                          <a14:useLocalDpi xmlns:a14="http://schemas.microsoft.com/office/drawing/2010/main" val="0"/>
                        </a:ext>
                      </a:extLst>
                    </a:blip>
                    <a:srcRect/>
                    <a:stretch>
                      <a:fillRect/>
                    </a:stretch>
                  </pic:blipFill>
                  <pic:spPr>
                    <a:xfrm>
                      <a:off x="0" y="0"/>
                      <a:ext cx="609600" cy="34290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日期2</w:t>
      </w:r>
      <w:r>
        <w:rPr>
          <w:b/>
          <w:color w:val="000000" w:themeColor="text1"/>
        </w:rPr>
        <w:t>02</w:t>
      </w:r>
      <w:r>
        <w:rPr>
          <w:rFonts w:hint="eastAsia"/>
          <w:b/>
          <w:color w:val="000000" w:themeColor="text1"/>
          <w:lang w:val="en-US" w:eastAsia="zh-CN"/>
        </w:rPr>
        <w:t>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MS Mincho" w:hAnsi="MS Mincho" w:eastAsia="MS Mincho" w:cs="MS Mincho"/>
          <w:szCs w:val="21"/>
        </w:rPr>
        <w:t>☑</w:t>
      </w:r>
      <w:r>
        <w:rPr>
          <w:rFonts w:hint="eastAsia"/>
          <w:b/>
          <w:color w:val="000000" w:themeColor="text1"/>
          <w:szCs w:val="21"/>
        </w:rPr>
        <w:t>QMS(   )个一般不符合，(  )个严重不符合，</w:t>
      </w:r>
      <w:r>
        <w:rPr>
          <w:rFonts w:hint="eastAsia" w:ascii="MS Mincho" w:hAnsi="MS Mincho" w:cs="MS Mincho"/>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MS Mincho" w:hAnsi="MS Mincho" w:eastAsia="MS Mincho" w:cs="MS Mincho"/>
          <w:szCs w:val="21"/>
        </w:rPr>
        <w:t>☑</w:t>
      </w:r>
      <w:r>
        <w:rPr>
          <w:rFonts w:hint="eastAsia"/>
          <w:b/>
          <w:color w:val="000000" w:themeColor="text1"/>
          <w:szCs w:val="21"/>
        </w:rPr>
        <w:t xml:space="preserve">EMS(   )个一般不符合，( </w:t>
      </w:r>
      <w:r>
        <w:rPr>
          <w:b/>
          <w:color w:val="000000" w:themeColor="text1"/>
          <w:szCs w:val="21"/>
        </w:rPr>
        <w:t>0</w:t>
      </w:r>
      <w:r>
        <w:rPr>
          <w:rFonts w:hint="eastAsia"/>
          <w:b/>
          <w:color w:val="000000" w:themeColor="text1"/>
          <w:szCs w:val="21"/>
        </w:rPr>
        <w:t>个严重不符合，</w:t>
      </w:r>
      <w:r>
        <w:rPr>
          <w:rFonts w:hint="eastAsia" w:ascii="MS Mincho" w:hAnsi="MS Mincho" w:cs="MS Mincho"/>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MS Mincho" w:hAnsi="MS Mincho" w:eastAsia="MS Mincho" w:cs="MS Mincho"/>
          <w:szCs w:val="21"/>
        </w:rPr>
        <w:t>☑</w:t>
      </w:r>
      <w:r>
        <w:rPr>
          <w:rFonts w:hint="eastAsia"/>
          <w:b/>
          <w:color w:val="000000" w:themeColor="text1"/>
          <w:szCs w:val="21"/>
        </w:rPr>
        <w:t>OHSMS(  )个一般不符合，(  )个严重不符合，</w:t>
      </w:r>
      <w:r>
        <w:rPr>
          <w:rFonts w:hint="eastAsia" w:ascii="MS Mincho" w:hAnsi="MS Mincho" w:cs="MS Mincho"/>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rPr>
          <w:rFonts w:hint="eastAsia" w:ascii="MS Mincho" w:hAnsi="MS Mincho" w:eastAsia="MS Mincho" w:cs="MS Mincho"/>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36830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r>
        <w:rPr>
          <w:rFonts w:hint="eastAsia"/>
          <w:b/>
          <w:color w:val="000000" w:themeColor="text1"/>
          <w:szCs w:val="21"/>
        </w:rPr>
        <w:t xml:space="preserve">                            日期:   </w:t>
      </w:r>
      <w:r>
        <w:rPr>
          <w:b/>
          <w:color w:val="000000" w:themeColor="text1"/>
          <w:szCs w:val="21"/>
        </w:rPr>
        <w:t>202</w:t>
      </w:r>
      <w:r>
        <w:rPr>
          <w:rFonts w:hint="eastAsia"/>
          <w:b/>
          <w:color w:val="000000" w:themeColor="text1"/>
          <w:szCs w:val="21"/>
          <w:lang w:val="en-US" w:eastAsia="zh-CN"/>
        </w:rPr>
        <w:t>1</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9</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21" w:name="_Hlk8555230"/>
    <w:r>
      <w:pict>
        <v:shape id="_x0000_s2049" o:spid="_x0000_s2049" o:spt="202" type="#_x0000_t202" style="position:absolute;left:0pt;margin-left:249.35pt;margin-top:5.25pt;height:20.2pt;width:164.1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21"/>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C74006"/>
    <w:multiLevelType w:val="singleLevel"/>
    <w:tmpl w:val="52C74006"/>
    <w:lvl w:ilvl="0" w:tentative="0">
      <w:start w:val="5"/>
      <w:numFmt w:val="decimal"/>
      <w:suff w:val="space"/>
      <w:lvlText w:val="%1."/>
      <w:lvlJc w:val="left"/>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C0FCA"/>
    <w:rsid w:val="00124565"/>
    <w:rsid w:val="0030449D"/>
    <w:rsid w:val="00471DD3"/>
    <w:rsid w:val="00524880"/>
    <w:rsid w:val="00554090"/>
    <w:rsid w:val="006878E4"/>
    <w:rsid w:val="00D75C30"/>
    <w:rsid w:val="00E2510E"/>
    <w:rsid w:val="00EC0FCA"/>
    <w:rsid w:val="00FC2D9C"/>
    <w:rsid w:val="00FF5F5B"/>
    <w:rsid w:val="480C71E5"/>
    <w:rsid w:val="7D786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 id="V:Rule2"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before="100" w:beforeAutospacing="1"/>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8"/>
    <w:semiHidden/>
    <w:unhideWhenUsed/>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9"/>
    <w:qFormat/>
    <w:uiPriority w:val="99"/>
    <w:rPr>
      <w:rFonts w:ascii="Times New Roman" w:hAnsi="Times New Roman" w:eastAsia="宋体" w:cs="Times New Roman"/>
      <w:sz w:val="18"/>
      <w:szCs w:val="18"/>
    </w:rPr>
  </w:style>
  <w:style w:type="character" w:customStyle="1" w:styleId="17">
    <w:name w:val="页脚 字符"/>
    <w:basedOn w:val="13"/>
    <w:link w:val="8"/>
    <w:qFormat/>
    <w:uiPriority w:val="99"/>
    <w:rPr>
      <w:rFonts w:ascii="Times New Roman" w:hAnsi="Times New Roman" w:eastAsia="宋体" w:cs="Times New Roman"/>
      <w:sz w:val="18"/>
      <w:szCs w:val="18"/>
    </w:rPr>
  </w:style>
  <w:style w:type="character" w:customStyle="1" w:styleId="18">
    <w:name w:val="批注框文本 字符"/>
    <w:basedOn w:val="13"/>
    <w:link w:val="7"/>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1700</Words>
  <Characters>9692</Characters>
  <Lines>80</Lines>
  <Paragraphs>22</Paragraphs>
  <TotalTime>1</TotalTime>
  <ScaleCrop>false</ScaleCrop>
  <LinksUpToDate>false</LinksUpToDate>
  <CharactersWithSpaces>11370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2021-07-09T02:16:54Z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E14F4353B46E4B48A5A0324616123C39</vt:lpwstr>
  </property>
</Properties>
</file>