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80" w:lineRule="auto"/>
        <w:rPr>
          <w:b/>
        </w:rPr>
      </w:pPr>
    </w:p>
    <w:p>
      <w:pPr>
        <w:snapToGrid w:val="0"/>
        <w:spacing w:line="480" w:lineRule="auto"/>
        <w:jc w:val="center"/>
        <w:rPr>
          <w:rFonts w:eastAsia="隶书"/>
          <w:sz w:val="52"/>
        </w:rPr>
      </w:pPr>
    </w:p>
    <w:p>
      <w:pPr>
        <w:snapToGrid w:val="0"/>
        <w:spacing w:line="480" w:lineRule="auto"/>
        <w:jc w:val="center"/>
        <w:rPr>
          <w:rFonts w:eastAsia="隶书"/>
          <w:sz w:val="52"/>
        </w:rPr>
      </w:pPr>
    </w:p>
    <w:p>
      <w:pPr>
        <w:snapToGrid w:val="0"/>
        <w:spacing w:line="480" w:lineRule="auto"/>
        <w:jc w:val="center"/>
        <w:rPr>
          <w:rFonts w:eastAsia="隶书"/>
          <w:sz w:val="52"/>
        </w:rPr>
      </w:pPr>
      <w:r>
        <w:pict>
          <v:shape id="图片 24" o:spid="_x0000_s2050" o:spt="75" type="#_x0000_t75" style="position:absolute;left:0pt;margin-left:169.75pt;margin-top:-36.8pt;height:117.35pt;width:135.75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5" o:title=""/>
            <o:lock v:ext="edit" aspectratio="t"/>
            <w10:wrap type="tight"/>
          </v:shape>
        </w:pict>
      </w:r>
    </w:p>
    <w:p>
      <w:pPr>
        <w:snapToGrid w:val="0"/>
        <w:spacing w:line="480" w:lineRule="auto"/>
        <w:jc w:val="center"/>
        <w:rPr>
          <w:rFonts w:eastAsia="隶书"/>
          <w:sz w:val="52"/>
        </w:rPr>
      </w:pPr>
    </w:p>
    <w:p>
      <w:pPr>
        <w:snapToGrid w:val="0"/>
        <w:jc w:val="center"/>
        <w:rPr>
          <w:rFonts w:ascii="楷体_GB2312" w:eastAsia="楷体_GB2312"/>
          <w:b/>
          <w:sz w:val="80"/>
          <w:szCs w:val="80"/>
        </w:rPr>
      </w:pPr>
      <w:r>
        <w:rPr>
          <w:rFonts w:hint="eastAsia" w:ascii="楷体_GB2312" w:eastAsia="楷体_GB2312"/>
          <w:b/>
          <w:sz w:val="80"/>
          <w:szCs w:val="80"/>
        </w:rPr>
        <w:t>监督审核报告</w:t>
      </w:r>
    </w:p>
    <w:p>
      <w:pPr>
        <w:snapToGrid w:val="0"/>
        <w:spacing w:line="360" w:lineRule="auto"/>
        <w:ind w:firstLine="450" w:firstLineChars="150"/>
        <w:rPr>
          <w:sz w:val="30"/>
          <w:szCs w:val="30"/>
        </w:rPr>
      </w:pPr>
    </w:p>
    <w:p>
      <w:pPr>
        <w:snapToGrid w:val="0"/>
        <w:spacing w:line="360" w:lineRule="auto"/>
        <w:rPr>
          <w:b/>
          <w:sz w:val="30"/>
          <w:szCs w:val="30"/>
        </w:rPr>
      </w:pPr>
    </w:p>
    <w:p>
      <w:pPr>
        <w:snapToGrid w:val="0"/>
        <w:spacing w:after="93" w:afterLines="30"/>
        <w:ind w:firstLine="321" w:firstLineChars="100"/>
        <w:rPr>
          <w:rFonts w:ascii="楷体" w:hAnsi="楷体" w:eastAsia="楷体"/>
          <w:b/>
          <w:color w:val="000000" w:themeColor="text1"/>
          <w:sz w:val="32"/>
          <w:szCs w:val="32"/>
        </w:rPr>
      </w:pPr>
      <w:r>
        <w:rPr>
          <w:rFonts w:hint="eastAsia" w:ascii="楷体" w:hAnsi="楷体" w:eastAsia="楷体"/>
          <w:b/>
          <w:color w:val="000000"/>
          <w:sz w:val="32"/>
          <w:szCs w:val="32"/>
        </w:rPr>
        <w:t>受审核方：</w:t>
      </w:r>
      <w:bookmarkStart w:id="0" w:name="组织名称"/>
      <w:r>
        <w:rPr>
          <w:rFonts w:ascii="楷体" w:hAnsi="楷体" w:eastAsia="楷体"/>
          <w:b/>
          <w:color w:val="000000" w:themeColor="text1"/>
          <w:sz w:val="32"/>
          <w:szCs w:val="32"/>
          <w:u w:val="single"/>
        </w:rPr>
        <w:t>北京美亚安数科技有限公司</w:t>
      </w:r>
      <w:bookmarkEnd w:id="0"/>
    </w:p>
    <w:p>
      <w:pPr>
        <w:snapToGrid w:val="0"/>
        <w:spacing w:after="98" w:afterLines="30"/>
        <w:ind w:firstLine="321" w:firstLineChars="100"/>
        <w:rPr>
          <w:rFonts w:ascii="楷体" w:hAnsi="楷体" w:eastAsia="楷体"/>
          <w:b/>
          <w:color w:val="000000"/>
          <w:sz w:val="32"/>
          <w:szCs w:val="32"/>
          <w:u w:val="single"/>
        </w:rPr>
      </w:pPr>
    </w:p>
    <w:p>
      <w:pPr>
        <w:snapToGrid w:val="0"/>
        <w:spacing w:after="98" w:afterLines="30"/>
        <w:rPr>
          <w:rFonts w:ascii="楷体" w:hAnsi="楷体" w:eastAsia="楷体"/>
          <w:b/>
          <w:color w:val="000000"/>
          <w:sz w:val="32"/>
          <w:szCs w:val="32"/>
        </w:rPr>
      </w:pPr>
    </w:p>
    <w:p>
      <w:pPr>
        <w:snapToGrid w:val="0"/>
        <w:spacing w:after="98" w:afterLines="30"/>
        <w:ind w:firstLine="321" w:firstLineChars="1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8" w:afterLines="30"/>
        <w:ind w:firstLine="957" w:firstLineChars="298"/>
        <w:rPr>
          <w:rFonts w:ascii="楷体" w:hAnsi="楷体" w:eastAsia="楷体"/>
          <w:b/>
          <w:color w:val="000000"/>
          <w:sz w:val="32"/>
          <w:szCs w:val="32"/>
        </w:rPr>
      </w:pPr>
      <w:bookmarkStart w:id="1" w:name="Q勾选15"/>
      <w:r>
        <w:rPr>
          <w:rFonts w:hint="eastAsia" w:ascii="楷体" w:hAnsi="楷体" w:eastAsia="楷体"/>
          <w:b/>
          <w:color w:val="000000"/>
          <w:sz w:val="32"/>
          <w:szCs w:val="32"/>
        </w:rPr>
        <w:t>■</w:t>
      </w:r>
      <w:bookmarkEnd w:id="1"/>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bookmarkStart w:id="2" w:name="QJ勾选"/>
      <w:r>
        <w:rPr>
          <w:rFonts w:hint="eastAsia" w:ascii="楷体" w:hAnsi="楷体" w:eastAsia="楷体"/>
          <w:b/>
          <w:color w:val="000000"/>
          <w:sz w:val="32"/>
          <w:szCs w:val="32"/>
        </w:rPr>
        <w:t>□</w:t>
      </w:r>
      <w:bookmarkEnd w:id="2"/>
      <w:r>
        <w:rPr>
          <w:rFonts w:hint="eastAsia" w:ascii="楷体" w:hAnsi="楷体" w:eastAsia="楷体"/>
          <w:b/>
          <w:color w:val="000000"/>
          <w:sz w:val="32"/>
          <w:szCs w:val="32"/>
        </w:rPr>
        <w:t>5</w:t>
      </w:r>
      <w:r>
        <w:rPr>
          <w:rFonts w:ascii="楷体" w:hAnsi="楷体" w:eastAsia="楷体"/>
          <w:b/>
          <w:color w:val="000000"/>
          <w:sz w:val="32"/>
          <w:szCs w:val="32"/>
        </w:rPr>
        <w:t>0430</w:t>
      </w:r>
      <w:r>
        <w:rPr>
          <w:rFonts w:ascii="楷体_GB2312" w:eastAsia="楷体_GB2312"/>
          <w:sz w:val="32"/>
          <w:szCs w:val="32"/>
        </w:rPr>
        <w:t>(</w:t>
      </w:r>
      <w:r>
        <w:rPr>
          <w:rFonts w:hint="eastAsia" w:ascii="楷体_GB2312" w:eastAsia="楷体_GB2312"/>
          <w:b/>
          <w:sz w:val="32"/>
          <w:szCs w:val="32"/>
        </w:rPr>
        <w:t>第</w:t>
      </w:r>
      <w:r>
        <w:rPr>
          <w:rFonts w:hint="eastAsia" w:ascii="楷体_GB2312" w:eastAsia="楷体_GB2312"/>
          <w:b/>
          <w:sz w:val="32"/>
          <w:szCs w:val="32"/>
          <w:lang w:val="en-US" w:eastAsia="zh-CN"/>
        </w:rPr>
        <w:t>1</w:t>
      </w:r>
      <w:r>
        <w:rPr>
          <w:rFonts w:hint="eastAsia" w:ascii="楷体_GB2312" w:eastAsia="楷体_GB2312"/>
          <w:b/>
          <w:sz w:val="32"/>
          <w:szCs w:val="32"/>
        </w:rPr>
        <w:t>次</w:t>
      </w:r>
      <w:r>
        <w:rPr>
          <w:rFonts w:ascii="楷体_GB2312" w:eastAsia="楷体_GB2312"/>
          <w:sz w:val="32"/>
          <w:szCs w:val="32"/>
        </w:rPr>
        <w:t>)</w:t>
      </w:r>
    </w:p>
    <w:p>
      <w:pPr>
        <w:snapToGrid w:val="0"/>
        <w:spacing w:after="98" w:afterLines="30"/>
        <w:ind w:firstLine="957" w:firstLineChars="298"/>
        <w:rPr>
          <w:rFonts w:ascii="楷体" w:hAnsi="楷体" w:eastAsia="楷体"/>
          <w:b/>
          <w:color w:val="000000"/>
          <w:sz w:val="32"/>
          <w:szCs w:val="32"/>
        </w:rPr>
      </w:pPr>
      <w:bookmarkStart w:id="3" w:name="E勾选"/>
      <w:r>
        <w:rPr>
          <w:rFonts w:hint="eastAsia" w:ascii="楷体" w:hAnsi="楷体" w:eastAsia="楷体"/>
          <w:b/>
          <w:color w:val="000000"/>
          <w:sz w:val="32"/>
          <w:szCs w:val="32"/>
        </w:rPr>
        <w:t>■</w:t>
      </w:r>
      <w:bookmarkEnd w:id="3"/>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w:t>
      </w:r>
      <w:r>
        <w:rPr>
          <w:rFonts w:hint="eastAsia" w:ascii="楷体_GB2312" w:eastAsia="楷体_GB2312"/>
          <w:b/>
          <w:sz w:val="32"/>
          <w:szCs w:val="32"/>
          <w:lang w:val="en-US" w:eastAsia="zh-CN"/>
        </w:rPr>
        <w:t>1</w:t>
      </w:r>
      <w:r>
        <w:rPr>
          <w:rFonts w:hint="eastAsia" w:ascii="楷体_GB2312" w:eastAsia="楷体_GB2312"/>
          <w:b/>
          <w:sz w:val="32"/>
          <w:szCs w:val="32"/>
        </w:rPr>
        <w:t>次</w:t>
      </w:r>
      <w:r>
        <w:rPr>
          <w:rFonts w:ascii="楷体_GB2312" w:eastAsia="楷体_GB2312"/>
          <w:sz w:val="32"/>
          <w:szCs w:val="32"/>
        </w:rPr>
        <w:t>)</w:t>
      </w:r>
    </w:p>
    <w:p>
      <w:pPr>
        <w:snapToGrid w:val="0"/>
        <w:spacing w:after="98" w:afterLines="30"/>
        <w:ind w:firstLine="957" w:firstLineChars="298"/>
        <w:rPr>
          <w:rFonts w:ascii="楷体" w:hAnsi="楷体" w:eastAsia="楷体"/>
          <w:b/>
          <w:color w:val="000000"/>
          <w:sz w:val="32"/>
          <w:szCs w:val="32"/>
        </w:rPr>
      </w:pPr>
      <w:bookmarkStart w:id="4" w:name="S勾选"/>
      <w:r>
        <w:rPr>
          <w:rFonts w:hint="eastAsia" w:ascii="楷体" w:hAnsi="楷体" w:eastAsia="楷体"/>
          <w:b/>
          <w:color w:val="000000"/>
          <w:sz w:val="32"/>
          <w:szCs w:val="32"/>
        </w:rPr>
        <w:t>■</w:t>
      </w:r>
      <w:bookmarkEnd w:id="4"/>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w:t>
      </w:r>
      <w:r>
        <w:rPr>
          <w:rFonts w:hint="eastAsia" w:ascii="楷体_GB2312" w:eastAsia="楷体_GB2312"/>
          <w:b/>
          <w:sz w:val="32"/>
          <w:szCs w:val="32"/>
          <w:lang w:val="en-US" w:eastAsia="zh-CN"/>
        </w:rPr>
        <w:t>1</w:t>
      </w:r>
      <w:r>
        <w:rPr>
          <w:rFonts w:hint="eastAsia" w:ascii="楷体_GB2312" w:eastAsia="楷体_GB2312"/>
          <w:b/>
          <w:sz w:val="32"/>
          <w:szCs w:val="32"/>
        </w:rPr>
        <w:t>次</w:t>
      </w:r>
      <w:r>
        <w:rPr>
          <w:rFonts w:ascii="楷体_GB2312" w:eastAsia="楷体_GB2312"/>
          <w:sz w:val="32"/>
          <w:szCs w:val="32"/>
        </w:rPr>
        <w:t>)</w:t>
      </w:r>
    </w:p>
    <w:p>
      <w:pPr>
        <w:snapToGrid w:val="0"/>
        <w:spacing w:line="480" w:lineRule="auto"/>
        <w:ind w:left="850"/>
        <w:rPr>
          <w:rFonts w:ascii="楷体" w:hAnsi="楷体" w:eastAsia="楷体"/>
          <w:b/>
          <w:color w:val="000000"/>
          <w:sz w:val="32"/>
          <w:szCs w:val="32"/>
        </w:rPr>
      </w:pPr>
    </w:p>
    <w:p>
      <w:pPr>
        <w:snapToGrid w:val="0"/>
        <w:spacing w:line="480" w:lineRule="auto"/>
        <w:ind w:left="850"/>
        <w:rPr>
          <w:rFonts w:eastAsia="楷体_GB2312"/>
          <w:sz w:val="32"/>
        </w:rPr>
      </w:pPr>
    </w:p>
    <w:p>
      <w:pPr>
        <w:pStyle w:val="2"/>
        <w:rPr>
          <w:rFonts w:eastAsia="楷体_GB2312"/>
          <w:sz w:val="32"/>
        </w:rPr>
      </w:pPr>
    </w:p>
    <w:p>
      <w:pPr>
        <w:pStyle w:val="2"/>
        <w:rPr>
          <w:rFonts w:eastAsia="楷体_GB2312"/>
          <w:sz w:val="32"/>
        </w:rPr>
      </w:pPr>
    </w:p>
    <w:p>
      <w:pPr>
        <w:snapToGrid w:val="0"/>
        <w:spacing w:after="98" w:afterLines="30"/>
        <w:jc w:val="center"/>
        <w:rPr>
          <w:rFonts w:ascii="楷体" w:hAnsi="楷体" w:eastAsia="楷体"/>
          <w:b/>
          <w:color w:val="000000"/>
          <w:sz w:val="36"/>
          <w:szCs w:val="36"/>
        </w:rPr>
      </w:pPr>
      <w:r>
        <w:rPr>
          <w:rFonts w:hint="eastAsia" w:ascii="楷体" w:hAnsi="楷体" w:eastAsia="楷体"/>
          <w:b/>
          <w:color w:val="000000"/>
          <w:sz w:val="36"/>
          <w:szCs w:val="36"/>
        </w:rPr>
        <w:t>北京国标联合认证有限公司</w:t>
      </w:r>
    </w:p>
    <w:p>
      <w:pPr>
        <w:widowControl/>
        <w:ind w:firstLine="2512" w:firstLineChars="695"/>
        <w:jc w:val="left"/>
        <w:rPr>
          <w:rFonts w:ascii="楷体" w:hAnsi="楷体" w:eastAsia="楷体"/>
          <w:b/>
          <w:color w:val="000000"/>
          <w:sz w:val="36"/>
          <w:szCs w:val="36"/>
        </w:rPr>
      </w:pPr>
      <w:r>
        <w:rPr>
          <w:rFonts w:hint="eastAsia" w:ascii="楷体" w:hAnsi="楷体" w:eastAsia="楷体"/>
          <w:b/>
          <w:color w:val="000000"/>
          <w:sz w:val="36"/>
          <w:szCs w:val="36"/>
        </w:rPr>
        <w:t>网址：</w:t>
      </w:r>
      <w:r>
        <w:rPr>
          <w:rFonts w:ascii="楷体" w:hAnsi="楷体" w:eastAsia="楷体"/>
          <w:b/>
          <w:color w:val="000000"/>
          <w:sz w:val="36"/>
          <w:szCs w:val="36"/>
        </w:rPr>
        <w:t>www.</w:t>
      </w:r>
      <w:r>
        <w:rPr>
          <w:rFonts w:hint="eastAsia" w:ascii="楷体" w:hAnsi="楷体" w:eastAsia="楷体"/>
          <w:b/>
          <w:color w:val="000000"/>
          <w:sz w:val="36"/>
          <w:szCs w:val="36"/>
        </w:rPr>
        <w:t>china-isc.org.cn</w:t>
      </w:r>
    </w:p>
    <w:p>
      <w:pPr>
        <w:ind w:firstLine="522" w:firstLineChars="200"/>
        <w:rPr>
          <w:rFonts w:ascii="宋体"/>
          <w:b/>
          <w:color w:val="000000"/>
          <w:sz w:val="26"/>
          <w:szCs w:val="26"/>
        </w:rPr>
      </w:pPr>
      <w:r>
        <w:rPr>
          <w:rFonts w:hint="eastAsia" w:ascii="宋体" w:hAnsi="宋体"/>
          <w:b/>
          <w:color w:val="000000"/>
          <w:sz w:val="26"/>
          <w:szCs w:val="26"/>
        </w:rPr>
        <w:t>一、审核方基本信息</w:t>
      </w:r>
    </w:p>
    <w:tbl>
      <w:tblPr>
        <w:tblStyle w:val="6"/>
        <w:tblW w:w="983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
        <w:gridCol w:w="541"/>
        <w:gridCol w:w="283"/>
        <w:gridCol w:w="1559"/>
        <w:gridCol w:w="1277"/>
        <w:gridCol w:w="1699"/>
        <w:gridCol w:w="993"/>
        <w:gridCol w:w="735"/>
        <w:gridCol w:w="115"/>
        <w:gridCol w:w="1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559" w:type="dxa"/>
            <w:gridSpan w:val="2"/>
            <w:vAlign w:val="center"/>
          </w:tcPr>
          <w:p>
            <w:pPr>
              <w:rPr>
                <w:b/>
                <w:sz w:val="21"/>
                <w:szCs w:val="21"/>
              </w:rPr>
            </w:pPr>
            <w:r>
              <w:rPr>
                <w:rFonts w:hint="eastAsia"/>
                <w:b/>
                <w:sz w:val="21"/>
                <w:szCs w:val="21"/>
              </w:rPr>
              <w:t>审核方名称</w:t>
            </w:r>
          </w:p>
        </w:tc>
        <w:tc>
          <w:tcPr>
            <w:tcW w:w="8275" w:type="dxa"/>
            <w:gridSpan w:val="8"/>
          </w:tcPr>
          <w:p>
            <w:pPr>
              <w:rPr>
                <w:b/>
                <w:sz w:val="21"/>
                <w:szCs w:val="21"/>
              </w:rPr>
            </w:pPr>
            <w:r>
              <w:rPr>
                <w:rFonts w:hint="eastAsia"/>
                <w:b/>
                <w:sz w:val="21"/>
                <w:szCs w:val="21"/>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审核方地址</w:t>
            </w:r>
          </w:p>
        </w:tc>
        <w:tc>
          <w:tcPr>
            <w:tcW w:w="5811" w:type="dxa"/>
            <w:gridSpan w:val="5"/>
          </w:tcPr>
          <w:p>
            <w:pPr>
              <w:rPr>
                <w:b/>
                <w:sz w:val="21"/>
                <w:szCs w:val="21"/>
              </w:rPr>
            </w:pPr>
            <w:r>
              <w:rPr>
                <w:rFonts w:hint="eastAsia"/>
                <w:b/>
                <w:sz w:val="21"/>
                <w:szCs w:val="21"/>
              </w:rPr>
              <w:t>北京市朝阳区北苑路168号1号楼16层1603</w:t>
            </w:r>
          </w:p>
        </w:tc>
        <w:tc>
          <w:tcPr>
            <w:tcW w:w="850" w:type="dxa"/>
            <w:gridSpan w:val="2"/>
          </w:tcPr>
          <w:p>
            <w:pPr>
              <w:rPr>
                <w:b/>
                <w:sz w:val="21"/>
                <w:szCs w:val="21"/>
              </w:rPr>
            </w:pPr>
            <w:r>
              <w:rPr>
                <w:rFonts w:hint="eastAsia"/>
                <w:b/>
                <w:sz w:val="21"/>
                <w:szCs w:val="21"/>
              </w:rPr>
              <w:t>邮编</w:t>
            </w:r>
          </w:p>
        </w:tc>
        <w:tc>
          <w:tcPr>
            <w:tcW w:w="1614" w:type="dxa"/>
          </w:tcPr>
          <w:p>
            <w:pPr>
              <w:rPr>
                <w:b/>
                <w:sz w:val="21"/>
                <w:szCs w:val="21"/>
              </w:rPr>
            </w:pPr>
            <w:r>
              <w:rPr>
                <w:rFonts w:hint="eastAsia"/>
                <w:b/>
                <w:sz w:val="21"/>
                <w:szCs w:val="21"/>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联系电话</w:t>
            </w:r>
          </w:p>
        </w:tc>
        <w:tc>
          <w:tcPr>
            <w:tcW w:w="8275" w:type="dxa"/>
            <w:gridSpan w:val="8"/>
          </w:tcPr>
          <w:p>
            <w:pPr>
              <w:rPr>
                <w:b/>
                <w:sz w:val="21"/>
                <w:szCs w:val="21"/>
              </w:rPr>
            </w:pPr>
            <w:r>
              <w:rPr>
                <w:b/>
                <w:sz w:val="21"/>
                <w:szCs w:val="21"/>
              </w:rPr>
              <w:t>010</w:t>
            </w:r>
            <w:r>
              <w:rPr>
                <w:rFonts w:hint="eastAsia"/>
                <w:b/>
                <w:sz w:val="21"/>
                <w:szCs w:val="21"/>
              </w:rPr>
              <w:t>-5351 6278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34" w:type="dxa"/>
            <w:gridSpan w:val="10"/>
          </w:tcPr>
          <w:p>
            <w:pPr>
              <w:rPr>
                <w:b/>
                <w:sz w:val="21"/>
                <w:szCs w:val="21"/>
              </w:rPr>
            </w:pPr>
            <w:r>
              <w:rPr>
                <w:rFonts w:hint="eastAsia"/>
                <w:b/>
                <w:sz w:val="21"/>
                <w:szCs w:val="21"/>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559" w:type="dxa"/>
            <w:vAlign w:val="center"/>
          </w:tcPr>
          <w:p>
            <w:pPr>
              <w:jc w:val="center"/>
              <w:rPr>
                <w:b/>
                <w:sz w:val="21"/>
                <w:szCs w:val="21"/>
              </w:rPr>
            </w:pPr>
            <w:r>
              <w:rPr>
                <w:rFonts w:hint="eastAsia"/>
                <w:b/>
                <w:sz w:val="21"/>
                <w:szCs w:val="21"/>
              </w:rPr>
              <w:t>职务</w:t>
            </w:r>
          </w:p>
        </w:tc>
        <w:tc>
          <w:tcPr>
            <w:tcW w:w="1277" w:type="dxa"/>
            <w:vAlign w:val="center"/>
          </w:tcPr>
          <w:p>
            <w:pPr>
              <w:jc w:val="center"/>
              <w:rPr>
                <w:b/>
                <w:sz w:val="21"/>
                <w:szCs w:val="21"/>
              </w:rPr>
            </w:pPr>
            <w:r>
              <w:rPr>
                <w:rFonts w:hint="eastAsia"/>
                <w:b/>
                <w:sz w:val="21"/>
                <w:szCs w:val="21"/>
              </w:rPr>
              <w:t>注册级别</w:t>
            </w:r>
          </w:p>
        </w:tc>
        <w:tc>
          <w:tcPr>
            <w:tcW w:w="1699" w:type="dxa"/>
            <w:vAlign w:val="center"/>
          </w:tcPr>
          <w:p>
            <w:pPr>
              <w:jc w:val="center"/>
              <w:rPr>
                <w:b/>
                <w:sz w:val="21"/>
                <w:szCs w:val="21"/>
              </w:rPr>
            </w:pPr>
            <w:r>
              <w:rPr>
                <w:rFonts w:hint="eastAsia"/>
                <w:b/>
                <w:sz w:val="21"/>
                <w:szCs w:val="21"/>
              </w:rPr>
              <w:t>审核员注册号</w:t>
            </w:r>
          </w:p>
        </w:tc>
        <w:tc>
          <w:tcPr>
            <w:tcW w:w="1728" w:type="dxa"/>
            <w:gridSpan w:val="2"/>
            <w:vAlign w:val="center"/>
          </w:tcPr>
          <w:p>
            <w:pPr>
              <w:jc w:val="center"/>
              <w:rPr>
                <w:b/>
                <w:sz w:val="21"/>
                <w:szCs w:val="21"/>
              </w:rPr>
            </w:pPr>
            <w:r>
              <w:rPr>
                <w:rFonts w:hint="eastAsia"/>
                <w:b/>
                <w:sz w:val="21"/>
                <w:szCs w:val="21"/>
              </w:rPr>
              <w:t>专业代码</w:t>
            </w:r>
          </w:p>
        </w:tc>
        <w:tc>
          <w:tcPr>
            <w:tcW w:w="1729" w:type="dxa"/>
            <w:gridSpan w:val="2"/>
            <w:vAlign w:val="center"/>
          </w:tcPr>
          <w:p>
            <w:pPr>
              <w:jc w:val="center"/>
              <w:rPr>
                <w:b/>
                <w:sz w:val="21"/>
                <w:szCs w:val="21"/>
              </w:rPr>
            </w:pPr>
            <w:r>
              <w:rPr>
                <w:rFonts w:hint="eastAsia"/>
                <w:b/>
                <w:sz w:val="21"/>
                <w:szCs w:val="21"/>
              </w:rPr>
              <w:t>组内代号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b/>
                <w:sz w:val="21"/>
                <w:szCs w:val="21"/>
              </w:rPr>
              <w:t>李京田</w:t>
            </w:r>
          </w:p>
        </w:tc>
        <w:tc>
          <w:tcPr>
            <w:tcW w:w="824" w:type="dxa"/>
            <w:gridSpan w:val="2"/>
            <w:vAlign w:val="center"/>
          </w:tcPr>
          <w:p>
            <w:pPr>
              <w:jc w:val="center"/>
              <w:rPr>
                <w:b/>
                <w:sz w:val="21"/>
                <w:szCs w:val="21"/>
              </w:rPr>
            </w:pPr>
            <w:r>
              <w:rPr>
                <w:b/>
                <w:sz w:val="21"/>
                <w:szCs w:val="21"/>
              </w:rPr>
              <w:t>女</w:t>
            </w:r>
          </w:p>
        </w:tc>
        <w:tc>
          <w:tcPr>
            <w:tcW w:w="1559" w:type="dxa"/>
            <w:vAlign w:val="center"/>
          </w:tcPr>
          <w:p>
            <w:pPr>
              <w:jc w:val="center"/>
              <w:rPr>
                <w:b/>
                <w:sz w:val="21"/>
                <w:szCs w:val="21"/>
              </w:rPr>
            </w:pPr>
            <w:r>
              <w:rPr>
                <w:b/>
                <w:sz w:val="21"/>
                <w:szCs w:val="21"/>
              </w:rPr>
              <w:t>组长</w:t>
            </w:r>
          </w:p>
        </w:tc>
        <w:tc>
          <w:tcPr>
            <w:tcW w:w="1277" w:type="dxa"/>
            <w:vAlign w:val="center"/>
          </w:tcPr>
          <w:p>
            <w:pPr>
              <w:jc w:val="center"/>
              <w:rPr>
                <w:b/>
                <w:sz w:val="21"/>
                <w:szCs w:val="21"/>
              </w:rPr>
            </w:pPr>
            <w:r>
              <w:rPr>
                <w:b/>
                <w:sz w:val="21"/>
                <w:szCs w:val="21"/>
              </w:rPr>
              <w:t>Q:审核员</w:t>
            </w:r>
          </w:p>
          <w:p>
            <w:pPr>
              <w:jc w:val="center"/>
              <w:rPr>
                <w:b/>
                <w:sz w:val="21"/>
                <w:szCs w:val="21"/>
              </w:rPr>
            </w:pPr>
            <w:r>
              <w:rPr>
                <w:b/>
                <w:sz w:val="21"/>
                <w:szCs w:val="21"/>
              </w:rPr>
              <w:t>E:审核员</w:t>
            </w:r>
          </w:p>
          <w:p>
            <w:pPr>
              <w:jc w:val="center"/>
              <w:rPr>
                <w:b/>
                <w:sz w:val="21"/>
                <w:szCs w:val="21"/>
              </w:rPr>
            </w:pPr>
            <w:r>
              <w:rPr>
                <w:b/>
                <w:sz w:val="21"/>
                <w:szCs w:val="21"/>
              </w:rPr>
              <w:t>O:审核员</w:t>
            </w:r>
          </w:p>
        </w:tc>
        <w:tc>
          <w:tcPr>
            <w:tcW w:w="1699" w:type="dxa"/>
            <w:vAlign w:val="center"/>
          </w:tcPr>
          <w:p>
            <w:pPr>
              <w:jc w:val="center"/>
              <w:rPr>
                <w:b/>
                <w:sz w:val="21"/>
                <w:szCs w:val="21"/>
              </w:rPr>
            </w:pPr>
            <w:r>
              <w:rPr>
                <w:b/>
                <w:sz w:val="21"/>
                <w:szCs w:val="21"/>
              </w:rPr>
              <w:t>2021-N1QMS-4014142</w:t>
            </w:r>
          </w:p>
          <w:p>
            <w:pPr>
              <w:jc w:val="center"/>
              <w:rPr>
                <w:b/>
                <w:sz w:val="21"/>
                <w:szCs w:val="21"/>
              </w:rPr>
            </w:pPr>
            <w:r>
              <w:rPr>
                <w:b/>
                <w:sz w:val="21"/>
                <w:szCs w:val="21"/>
              </w:rPr>
              <w:t>2020-N1EMS-3014142</w:t>
            </w:r>
          </w:p>
          <w:p>
            <w:pPr>
              <w:jc w:val="center"/>
              <w:rPr>
                <w:b/>
                <w:sz w:val="21"/>
                <w:szCs w:val="21"/>
              </w:rPr>
            </w:pPr>
            <w:r>
              <w:rPr>
                <w:b/>
                <w:sz w:val="21"/>
                <w:szCs w:val="21"/>
              </w:rPr>
              <w:t>2020-N1OHSMS-3014142</w:t>
            </w:r>
          </w:p>
        </w:tc>
        <w:tc>
          <w:tcPr>
            <w:tcW w:w="1728" w:type="dxa"/>
            <w:gridSpan w:val="2"/>
            <w:vAlign w:val="center"/>
          </w:tcPr>
          <w:p>
            <w:pPr>
              <w:jc w:val="center"/>
              <w:rPr>
                <w:b/>
                <w:sz w:val="21"/>
                <w:szCs w:val="21"/>
              </w:rPr>
            </w:pPr>
            <w:r>
              <w:rPr>
                <w:b/>
                <w:sz w:val="21"/>
                <w:szCs w:val="21"/>
              </w:rPr>
              <w:t>Q:29.09.02,33.02.01</w:t>
            </w:r>
          </w:p>
          <w:p>
            <w:pPr>
              <w:jc w:val="center"/>
              <w:rPr>
                <w:b/>
                <w:sz w:val="21"/>
                <w:szCs w:val="21"/>
              </w:rPr>
            </w:pPr>
            <w:r>
              <w:rPr>
                <w:b/>
                <w:sz w:val="21"/>
                <w:szCs w:val="21"/>
              </w:rPr>
              <w:t>E:29.09.02,33.02.01</w:t>
            </w:r>
          </w:p>
          <w:p>
            <w:pPr>
              <w:jc w:val="center"/>
              <w:rPr>
                <w:b/>
                <w:sz w:val="21"/>
                <w:szCs w:val="21"/>
              </w:rPr>
            </w:pPr>
            <w:r>
              <w:rPr>
                <w:b/>
                <w:sz w:val="21"/>
                <w:szCs w:val="21"/>
              </w:rPr>
              <w:t>O:29.09.02,33.02.01</w:t>
            </w:r>
          </w:p>
        </w:tc>
        <w:tc>
          <w:tcPr>
            <w:tcW w:w="1729" w:type="dxa"/>
            <w:gridSpan w:val="2"/>
            <w:vAlign w:val="center"/>
          </w:tcPr>
          <w:p>
            <w:pPr>
              <w:jc w:val="center"/>
              <w:rPr>
                <w:b/>
                <w:sz w:val="21"/>
                <w:szCs w:val="21"/>
              </w:rPr>
            </w:pPr>
            <w:r>
              <w:rPr>
                <w:b/>
                <w:sz w:val="21"/>
                <w:szCs w:val="21"/>
              </w:rPr>
              <w:t>ISC-14142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b/>
                <w:sz w:val="21"/>
                <w:szCs w:val="21"/>
              </w:rPr>
              <w:t>李雅静</w:t>
            </w:r>
          </w:p>
        </w:tc>
        <w:tc>
          <w:tcPr>
            <w:tcW w:w="824" w:type="dxa"/>
            <w:gridSpan w:val="2"/>
            <w:vAlign w:val="center"/>
          </w:tcPr>
          <w:p>
            <w:pPr>
              <w:jc w:val="center"/>
              <w:rPr>
                <w:b/>
                <w:sz w:val="21"/>
                <w:szCs w:val="21"/>
              </w:rPr>
            </w:pPr>
            <w:r>
              <w:rPr>
                <w:b/>
                <w:sz w:val="21"/>
                <w:szCs w:val="21"/>
              </w:rPr>
              <w:t>女</w:t>
            </w:r>
          </w:p>
        </w:tc>
        <w:tc>
          <w:tcPr>
            <w:tcW w:w="1559" w:type="dxa"/>
            <w:vAlign w:val="center"/>
          </w:tcPr>
          <w:p>
            <w:pPr>
              <w:jc w:val="center"/>
              <w:rPr>
                <w:b/>
                <w:sz w:val="21"/>
                <w:szCs w:val="21"/>
              </w:rPr>
            </w:pPr>
            <w:r>
              <w:rPr>
                <w:b/>
                <w:sz w:val="21"/>
                <w:szCs w:val="21"/>
              </w:rPr>
              <w:t>组员</w:t>
            </w:r>
          </w:p>
        </w:tc>
        <w:tc>
          <w:tcPr>
            <w:tcW w:w="1277" w:type="dxa"/>
            <w:vAlign w:val="center"/>
          </w:tcPr>
          <w:p>
            <w:pPr>
              <w:jc w:val="center"/>
              <w:rPr>
                <w:b/>
                <w:sz w:val="21"/>
                <w:szCs w:val="21"/>
              </w:rPr>
            </w:pPr>
            <w:r>
              <w:rPr>
                <w:b/>
                <w:sz w:val="21"/>
                <w:szCs w:val="21"/>
              </w:rPr>
              <w:t>Q:审核员</w:t>
            </w:r>
          </w:p>
          <w:p>
            <w:pPr>
              <w:jc w:val="center"/>
              <w:rPr>
                <w:b/>
                <w:sz w:val="21"/>
                <w:szCs w:val="21"/>
              </w:rPr>
            </w:pPr>
            <w:r>
              <w:rPr>
                <w:b/>
                <w:sz w:val="21"/>
                <w:szCs w:val="21"/>
              </w:rPr>
              <w:t>E:审核员</w:t>
            </w:r>
          </w:p>
          <w:p>
            <w:pPr>
              <w:jc w:val="center"/>
              <w:rPr>
                <w:b/>
                <w:sz w:val="21"/>
                <w:szCs w:val="21"/>
              </w:rPr>
            </w:pPr>
            <w:r>
              <w:rPr>
                <w:b/>
                <w:sz w:val="21"/>
                <w:szCs w:val="21"/>
              </w:rPr>
              <w:t>O:审核员</w:t>
            </w:r>
          </w:p>
        </w:tc>
        <w:tc>
          <w:tcPr>
            <w:tcW w:w="1699" w:type="dxa"/>
            <w:vAlign w:val="center"/>
          </w:tcPr>
          <w:p>
            <w:pPr>
              <w:jc w:val="center"/>
              <w:rPr>
                <w:b/>
                <w:sz w:val="21"/>
                <w:szCs w:val="21"/>
              </w:rPr>
            </w:pPr>
            <w:r>
              <w:rPr>
                <w:b/>
                <w:sz w:val="21"/>
                <w:szCs w:val="21"/>
              </w:rPr>
              <w:t>2019-N1QMS-1218164</w:t>
            </w:r>
          </w:p>
          <w:p>
            <w:pPr>
              <w:jc w:val="center"/>
              <w:rPr>
                <w:b/>
                <w:sz w:val="21"/>
                <w:szCs w:val="21"/>
              </w:rPr>
            </w:pPr>
            <w:r>
              <w:rPr>
                <w:b/>
                <w:sz w:val="21"/>
                <w:szCs w:val="21"/>
              </w:rPr>
              <w:t>2020-N1EMS-1218164</w:t>
            </w:r>
          </w:p>
          <w:p>
            <w:pPr>
              <w:jc w:val="center"/>
              <w:rPr>
                <w:b/>
                <w:sz w:val="21"/>
                <w:szCs w:val="21"/>
              </w:rPr>
            </w:pPr>
            <w:r>
              <w:rPr>
                <w:b/>
                <w:sz w:val="21"/>
                <w:szCs w:val="21"/>
              </w:rPr>
              <w:t>2019-N1OHSMS-1218164</w:t>
            </w:r>
          </w:p>
        </w:tc>
        <w:tc>
          <w:tcPr>
            <w:tcW w:w="1728" w:type="dxa"/>
            <w:gridSpan w:val="2"/>
            <w:vAlign w:val="center"/>
          </w:tcPr>
          <w:p>
            <w:pPr>
              <w:jc w:val="center"/>
              <w:rPr>
                <w:b/>
                <w:sz w:val="21"/>
                <w:szCs w:val="21"/>
              </w:rPr>
            </w:pPr>
            <w:r>
              <w:rPr>
                <w:b/>
                <w:sz w:val="21"/>
                <w:szCs w:val="21"/>
              </w:rPr>
              <w:t>Q:29.09.02</w:t>
            </w:r>
          </w:p>
          <w:p>
            <w:pPr>
              <w:jc w:val="center"/>
              <w:rPr>
                <w:b/>
                <w:sz w:val="21"/>
                <w:szCs w:val="21"/>
              </w:rPr>
            </w:pPr>
            <w:r>
              <w:rPr>
                <w:b/>
                <w:sz w:val="21"/>
                <w:szCs w:val="21"/>
              </w:rPr>
              <w:t>E:29.09.02,33.02.01</w:t>
            </w:r>
          </w:p>
          <w:p>
            <w:pPr>
              <w:jc w:val="center"/>
              <w:rPr>
                <w:b/>
                <w:sz w:val="21"/>
                <w:szCs w:val="21"/>
              </w:rPr>
            </w:pPr>
            <w:r>
              <w:rPr>
                <w:b/>
                <w:sz w:val="21"/>
                <w:szCs w:val="21"/>
              </w:rPr>
              <w:t>O:29.09.02,33.02.01</w:t>
            </w:r>
          </w:p>
        </w:tc>
        <w:tc>
          <w:tcPr>
            <w:tcW w:w="1729" w:type="dxa"/>
            <w:gridSpan w:val="2"/>
            <w:vAlign w:val="center"/>
          </w:tcPr>
          <w:p>
            <w:pPr>
              <w:jc w:val="center"/>
              <w:rPr>
                <w:b/>
                <w:sz w:val="21"/>
                <w:szCs w:val="21"/>
              </w:rPr>
            </w:pPr>
            <w:r>
              <w:rPr>
                <w:b/>
                <w:sz w:val="21"/>
                <w:szCs w:val="21"/>
              </w:rPr>
              <w:t>ISC-218164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b/>
                <w:sz w:val="21"/>
                <w:szCs w:val="21"/>
              </w:rPr>
              <w:t>夏爱俭</w:t>
            </w:r>
          </w:p>
        </w:tc>
        <w:tc>
          <w:tcPr>
            <w:tcW w:w="824" w:type="dxa"/>
            <w:gridSpan w:val="2"/>
            <w:vAlign w:val="center"/>
          </w:tcPr>
          <w:p>
            <w:pPr>
              <w:jc w:val="center"/>
              <w:rPr>
                <w:b/>
                <w:sz w:val="21"/>
                <w:szCs w:val="21"/>
              </w:rPr>
            </w:pPr>
            <w:r>
              <w:rPr>
                <w:b/>
                <w:sz w:val="21"/>
                <w:szCs w:val="21"/>
              </w:rPr>
              <w:t>女</w:t>
            </w:r>
          </w:p>
        </w:tc>
        <w:tc>
          <w:tcPr>
            <w:tcW w:w="1559" w:type="dxa"/>
            <w:vAlign w:val="center"/>
          </w:tcPr>
          <w:p>
            <w:pPr>
              <w:jc w:val="center"/>
              <w:rPr>
                <w:b/>
                <w:sz w:val="21"/>
                <w:szCs w:val="21"/>
              </w:rPr>
            </w:pPr>
            <w:r>
              <w:rPr>
                <w:b/>
                <w:sz w:val="21"/>
                <w:szCs w:val="21"/>
              </w:rPr>
              <w:t>组员</w:t>
            </w:r>
          </w:p>
        </w:tc>
        <w:tc>
          <w:tcPr>
            <w:tcW w:w="1277" w:type="dxa"/>
            <w:vAlign w:val="center"/>
          </w:tcPr>
          <w:p>
            <w:pPr>
              <w:jc w:val="center"/>
              <w:rPr>
                <w:b/>
                <w:sz w:val="21"/>
                <w:szCs w:val="21"/>
              </w:rPr>
            </w:pPr>
            <w:r>
              <w:rPr>
                <w:b/>
                <w:sz w:val="21"/>
                <w:szCs w:val="21"/>
              </w:rPr>
              <w:t>Q:审核员</w:t>
            </w:r>
          </w:p>
          <w:p>
            <w:pPr>
              <w:jc w:val="center"/>
              <w:rPr>
                <w:b/>
                <w:sz w:val="21"/>
                <w:szCs w:val="21"/>
              </w:rPr>
            </w:pPr>
            <w:r>
              <w:rPr>
                <w:b/>
                <w:sz w:val="21"/>
                <w:szCs w:val="21"/>
              </w:rPr>
              <w:t>E:实习审核员</w:t>
            </w:r>
          </w:p>
        </w:tc>
        <w:tc>
          <w:tcPr>
            <w:tcW w:w="1699" w:type="dxa"/>
            <w:vAlign w:val="center"/>
          </w:tcPr>
          <w:p>
            <w:pPr>
              <w:jc w:val="center"/>
              <w:rPr>
                <w:b/>
                <w:sz w:val="21"/>
                <w:szCs w:val="21"/>
              </w:rPr>
            </w:pPr>
            <w:r>
              <w:rPr>
                <w:b/>
                <w:sz w:val="21"/>
                <w:szCs w:val="21"/>
              </w:rPr>
              <w:t>2020-N1QMS-1226516</w:t>
            </w:r>
          </w:p>
          <w:p>
            <w:pPr>
              <w:jc w:val="center"/>
              <w:rPr>
                <w:b/>
                <w:sz w:val="21"/>
                <w:szCs w:val="21"/>
              </w:rPr>
            </w:pPr>
            <w:r>
              <w:rPr>
                <w:b/>
                <w:sz w:val="21"/>
                <w:szCs w:val="21"/>
              </w:rPr>
              <w:t>2021-N0EMS-1226516</w:t>
            </w:r>
          </w:p>
        </w:tc>
        <w:tc>
          <w:tcPr>
            <w:tcW w:w="1728" w:type="dxa"/>
            <w:gridSpan w:val="2"/>
            <w:vAlign w:val="center"/>
          </w:tcPr>
          <w:p>
            <w:pPr>
              <w:jc w:val="center"/>
              <w:rPr>
                <w:b/>
                <w:sz w:val="21"/>
                <w:szCs w:val="21"/>
              </w:rPr>
            </w:pPr>
          </w:p>
        </w:tc>
        <w:tc>
          <w:tcPr>
            <w:tcW w:w="1729" w:type="dxa"/>
            <w:gridSpan w:val="2"/>
            <w:vAlign w:val="center"/>
          </w:tcPr>
          <w:p>
            <w:pPr>
              <w:jc w:val="center"/>
              <w:rPr>
                <w:b/>
                <w:sz w:val="21"/>
                <w:szCs w:val="21"/>
              </w:rPr>
            </w:pPr>
            <w:r>
              <w:rPr>
                <w:b/>
                <w:sz w:val="21"/>
                <w:szCs w:val="21"/>
              </w:rPr>
              <w:t>ISC-226516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728"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728"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728"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834" w:type="dxa"/>
            <w:gridSpan w:val="10"/>
          </w:tcPr>
          <w:p>
            <w:pPr>
              <w:rPr>
                <w:b/>
                <w:sz w:val="21"/>
                <w:szCs w:val="21"/>
              </w:rPr>
            </w:pPr>
            <w:r>
              <w:rPr>
                <w:rFonts w:hint="eastAsia"/>
                <w:b/>
                <w:sz w:val="21"/>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559" w:type="dxa"/>
            <w:vAlign w:val="center"/>
          </w:tcPr>
          <w:p>
            <w:pPr>
              <w:jc w:val="center"/>
              <w:rPr>
                <w:b/>
                <w:sz w:val="21"/>
                <w:szCs w:val="21"/>
              </w:rPr>
            </w:pPr>
            <w:r>
              <w:rPr>
                <w:rFonts w:hint="eastAsia"/>
                <w:b/>
                <w:sz w:val="21"/>
                <w:szCs w:val="21"/>
              </w:rPr>
              <w:t>角色</w:t>
            </w:r>
          </w:p>
        </w:tc>
        <w:tc>
          <w:tcPr>
            <w:tcW w:w="6433" w:type="dxa"/>
            <w:gridSpan w:val="6"/>
            <w:vAlign w:val="center"/>
          </w:tcPr>
          <w:p>
            <w:pPr>
              <w:rPr>
                <w:b/>
                <w:sz w:val="21"/>
                <w:szCs w:val="21"/>
              </w:rPr>
            </w:pPr>
            <w:r>
              <w:rPr>
                <w:rFonts w:hint="eastAsia"/>
                <w:b/>
                <w:sz w:val="21"/>
                <w:szCs w:val="21"/>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p>
        </w:tc>
        <w:tc>
          <w:tcPr>
            <w:tcW w:w="824" w:type="dxa"/>
            <w:gridSpan w:val="2"/>
            <w:vAlign w:val="center"/>
          </w:tcPr>
          <w:p>
            <w:pPr>
              <w:jc w:val="center"/>
              <w:rPr>
                <w:b/>
                <w:sz w:val="21"/>
                <w:szCs w:val="21"/>
              </w:rPr>
            </w:pPr>
          </w:p>
        </w:tc>
        <w:tc>
          <w:tcPr>
            <w:tcW w:w="1559" w:type="dxa"/>
            <w:vAlign w:val="center"/>
          </w:tcPr>
          <w:p>
            <w:pPr>
              <w:jc w:val="center"/>
              <w:rPr>
                <w:b/>
                <w:sz w:val="21"/>
                <w:szCs w:val="21"/>
              </w:rPr>
            </w:pPr>
          </w:p>
        </w:tc>
        <w:tc>
          <w:tcPr>
            <w:tcW w:w="6433" w:type="dxa"/>
            <w:gridSpan w:val="6"/>
            <w:vAlign w:val="center"/>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rPr>
            </w:pPr>
          </w:p>
        </w:tc>
        <w:tc>
          <w:tcPr>
            <w:tcW w:w="824" w:type="dxa"/>
            <w:gridSpan w:val="2"/>
            <w:vAlign w:val="center"/>
          </w:tcPr>
          <w:p>
            <w:pPr>
              <w:jc w:val="center"/>
              <w:rPr>
                <w:b/>
              </w:rPr>
            </w:pPr>
          </w:p>
        </w:tc>
        <w:tc>
          <w:tcPr>
            <w:tcW w:w="1559" w:type="dxa"/>
            <w:vAlign w:val="center"/>
          </w:tcPr>
          <w:p>
            <w:pPr>
              <w:jc w:val="center"/>
              <w:rPr>
                <w:b/>
              </w:rPr>
            </w:pPr>
          </w:p>
        </w:tc>
        <w:tc>
          <w:tcPr>
            <w:tcW w:w="6433" w:type="dxa"/>
            <w:gridSpan w:val="6"/>
            <w:vAlign w:val="center"/>
          </w:tcPr>
          <w:p>
            <w:pP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rPr>
            </w:pPr>
          </w:p>
        </w:tc>
        <w:tc>
          <w:tcPr>
            <w:tcW w:w="824" w:type="dxa"/>
            <w:gridSpan w:val="2"/>
            <w:vAlign w:val="center"/>
          </w:tcPr>
          <w:p>
            <w:pPr>
              <w:jc w:val="center"/>
              <w:rPr>
                <w:b/>
              </w:rPr>
            </w:pPr>
          </w:p>
        </w:tc>
        <w:tc>
          <w:tcPr>
            <w:tcW w:w="1559" w:type="dxa"/>
            <w:vAlign w:val="center"/>
          </w:tcPr>
          <w:p>
            <w:pPr>
              <w:jc w:val="center"/>
              <w:rPr>
                <w:b/>
              </w:rPr>
            </w:pPr>
          </w:p>
        </w:tc>
        <w:tc>
          <w:tcPr>
            <w:tcW w:w="6433" w:type="dxa"/>
            <w:gridSpan w:val="6"/>
            <w:vAlign w:val="center"/>
          </w:tcPr>
          <w:p>
            <w:pPr>
              <w:rPr>
                <w:b/>
              </w:rPr>
            </w:pPr>
          </w:p>
        </w:tc>
      </w:tr>
    </w:tbl>
    <w:p>
      <w:pPr>
        <w:tabs>
          <w:tab w:val="left" w:pos="645"/>
        </w:tabs>
        <w:rPr>
          <w:b/>
          <w:sz w:val="26"/>
          <w:szCs w:val="26"/>
        </w:rPr>
      </w:pPr>
      <w:r>
        <w:rPr>
          <w:rFonts w:hint="eastAsia"/>
          <w:b/>
          <w:sz w:val="26"/>
          <w:szCs w:val="26"/>
        </w:rPr>
        <w:t>二、审核目的</w:t>
      </w:r>
    </w:p>
    <w:p>
      <w:pPr>
        <w:tabs>
          <w:tab w:val="left" w:pos="645"/>
        </w:tabs>
        <w:rPr>
          <w:b/>
          <w:sz w:val="21"/>
          <w:szCs w:val="21"/>
        </w:rPr>
      </w:pPr>
      <w:bookmarkStart w:id="5" w:name="审核目的"/>
      <w:r>
        <w:rPr>
          <w:rFonts w:hint="eastAsia"/>
          <w:b/>
          <w:sz w:val="21"/>
          <w:szCs w:val="21"/>
        </w:rPr>
        <w:t>验证管理体系是否符合认证标准并有效运行,以决定推荐：</w:t>
      </w:r>
    </w:p>
    <w:p>
      <w:pPr>
        <w:tabs>
          <w:tab w:val="left" w:pos="645"/>
        </w:tabs>
        <w:rPr>
          <w:rFonts w:hint="eastAsia"/>
          <w:b/>
          <w:sz w:val="21"/>
          <w:szCs w:val="21"/>
        </w:rPr>
      </w:pPr>
      <w:r>
        <w:rPr>
          <w:rFonts w:hint="eastAsia"/>
          <w:b/>
          <w:sz w:val="21"/>
          <w:szCs w:val="21"/>
        </w:rPr>
        <w:t>□认证注册：__________</w:t>
      </w:r>
    </w:p>
    <w:p>
      <w:pPr>
        <w:tabs>
          <w:tab w:val="left" w:pos="645"/>
        </w:tabs>
        <w:rPr>
          <w:rFonts w:hint="eastAsia"/>
          <w:b/>
          <w:sz w:val="21"/>
          <w:szCs w:val="21"/>
        </w:rPr>
      </w:pPr>
      <w:r>
        <w:rPr>
          <w:rFonts w:hint="eastAsia"/>
          <w:b/>
          <w:sz w:val="21"/>
          <w:szCs w:val="21"/>
        </w:rPr>
        <w:t>□保持认证注册资格：__________</w:t>
      </w:r>
    </w:p>
    <w:p>
      <w:pPr>
        <w:tabs>
          <w:tab w:val="left" w:pos="645"/>
        </w:tabs>
        <w:rPr>
          <w:rFonts w:hint="eastAsia"/>
          <w:b/>
          <w:sz w:val="21"/>
          <w:szCs w:val="21"/>
        </w:rPr>
      </w:pPr>
      <w:r>
        <w:rPr>
          <w:rFonts w:hint="eastAsia"/>
          <w:b/>
          <w:sz w:val="21"/>
          <w:szCs w:val="21"/>
        </w:rPr>
        <w:t>■恢复认证注册资格：__________</w:t>
      </w:r>
    </w:p>
    <w:p>
      <w:pPr>
        <w:tabs>
          <w:tab w:val="left" w:pos="645"/>
        </w:tabs>
        <w:rPr>
          <w:rFonts w:hint="eastAsia"/>
          <w:b/>
          <w:sz w:val="21"/>
          <w:szCs w:val="21"/>
        </w:rPr>
      </w:pPr>
      <w:r>
        <w:rPr>
          <w:rFonts w:hint="eastAsia"/>
          <w:b/>
          <w:sz w:val="21"/>
          <w:szCs w:val="21"/>
        </w:rPr>
        <w:t>□扩大认证范围 ：</w:t>
      </w:r>
    </w:p>
    <w:p>
      <w:pPr>
        <w:tabs>
          <w:tab w:val="left" w:pos="645"/>
        </w:tabs>
        <w:rPr>
          <w:rFonts w:hint="eastAsia"/>
          <w:b/>
          <w:sz w:val="21"/>
          <w:szCs w:val="21"/>
        </w:rPr>
      </w:pPr>
      <w:r>
        <w:rPr>
          <w:rFonts w:hint="eastAsia"/>
          <w:b/>
          <w:sz w:val="21"/>
          <w:szCs w:val="21"/>
        </w:rPr>
        <w:t>□其它：__________</w:t>
      </w:r>
      <w:bookmarkEnd w:id="5"/>
    </w:p>
    <w:p>
      <w:pPr>
        <w:tabs>
          <w:tab w:val="left" w:pos="645"/>
        </w:tabs>
        <w:rPr>
          <w:b/>
          <w:sz w:val="16"/>
          <w:szCs w:val="16"/>
        </w:rPr>
      </w:pPr>
      <w:r>
        <w:rPr>
          <w:rFonts w:hint="eastAsia"/>
          <w:b/>
          <w:sz w:val="26"/>
          <w:szCs w:val="26"/>
        </w:rPr>
        <w:t>三、审核准则</w:t>
      </w:r>
    </w:p>
    <w:p>
      <w:pPr>
        <w:tabs>
          <w:tab w:val="left" w:pos="645"/>
        </w:tabs>
        <w:rPr>
          <w:b/>
          <w:sz w:val="21"/>
          <w:szCs w:val="21"/>
        </w:rPr>
      </w:pPr>
      <w:bookmarkStart w:id="6" w:name="Q勾选15Add"/>
      <w:r>
        <w:rPr>
          <w:rFonts w:hint="eastAsia"/>
          <w:b/>
          <w:sz w:val="21"/>
          <w:szCs w:val="21"/>
        </w:rPr>
        <w:t>■</w:t>
      </w:r>
      <w:bookmarkEnd w:id="6"/>
      <w:r>
        <w:rPr>
          <w:rFonts w:hint="eastAsia"/>
          <w:b/>
          <w:sz w:val="21"/>
          <w:szCs w:val="21"/>
        </w:rPr>
        <w:t xml:space="preserve"> GB/T 19001:2016 idt ISO 9001:2015标准不适用条款: </w:t>
      </w:r>
    </w:p>
    <w:p>
      <w:pPr>
        <w:tabs>
          <w:tab w:val="left" w:pos="645"/>
        </w:tabs>
        <w:rPr>
          <w:b/>
          <w:sz w:val="21"/>
          <w:szCs w:val="21"/>
        </w:rPr>
      </w:pPr>
      <w:bookmarkStart w:id="7" w:name="QJ勾选Add"/>
      <w:r>
        <w:rPr>
          <w:rFonts w:hint="eastAsia"/>
          <w:b/>
          <w:sz w:val="21"/>
          <w:szCs w:val="21"/>
        </w:rPr>
        <w:t>□</w:t>
      </w:r>
      <w:bookmarkEnd w:id="7"/>
      <w:r>
        <w:rPr>
          <w:rFonts w:hint="eastAsia"/>
          <w:b/>
          <w:sz w:val="21"/>
          <w:szCs w:val="21"/>
        </w:rPr>
        <w:t xml:space="preserve"> GB/T 50430-2017标准不适用条款: </w:t>
      </w:r>
    </w:p>
    <w:p>
      <w:pPr>
        <w:tabs>
          <w:tab w:val="left" w:pos="645"/>
        </w:tabs>
        <w:rPr>
          <w:b/>
          <w:sz w:val="21"/>
          <w:szCs w:val="21"/>
        </w:rPr>
      </w:pPr>
      <w:bookmarkStart w:id="8" w:name="E勾选Add"/>
      <w:r>
        <w:rPr>
          <w:rFonts w:hint="eastAsia"/>
          <w:b/>
          <w:sz w:val="21"/>
          <w:szCs w:val="21"/>
        </w:rPr>
        <w:t>■</w:t>
      </w:r>
      <w:bookmarkEnd w:id="8"/>
      <w:r>
        <w:rPr>
          <w:rFonts w:hint="eastAsia"/>
          <w:b/>
          <w:sz w:val="21"/>
          <w:szCs w:val="21"/>
        </w:rPr>
        <w:t xml:space="preserve"> GB/T 24001-2016 idt ISO 14001:2015标准</w:t>
      </w:r>
    </w:p>
    <w:p>
      <w:pPr>
        <w:tabs>
          <w:tab w:val="left" w:pos="645"/>
        </w:tabs>
        <w:rPr>
          <w:b/>
          <w:sz w:val="21"/>
          <w:szCs w:val="21"/>
        </w:rPr>
      </w:pPr>
      <w:bookmarkStart w:id="9" w:name="S勾选Add1"/>
      <w:r>
        <w:rPr>
          <w:rFonts w:hint="eastAsia"/>
          <w:b/>
          <w:sz w:val="21"/>
          <w:szCs w:val="21"/>
        </w:rPr>
        <w:t>■</w:t>
      </w:r>
      <w:bookmarkEnd w:id="9"/>
      <w:r>
        <w:rPr>
          <w:rFonts w:hint="eastAsia"/>
          <w:b/>
          <w:sz w:val="21"/>
          <w:szCs w:val="21"/>
        </w:rPr>
        <w:t xml:space="preserve"> ISO45001：2018标准</w:t>
      </w:r>
    </w:p>
    <w:p>
      <w:pPr>
        <w:tabs>
          <w:tab w:val="left" w:pos="645"/>
        </w:tabs>
        <w:rPr>
          <w:b/>
          <w:sz w:val="21"/>
          <w:szCs w:val="21"/>
        </w:rPr>
      </w:pPr>
      <w:r>
        <w:rPr>
          <w:rFonts w:hint="eastAsia"/>
          <w:b/>
          <w:sz w:val="21"/>
          <w:szCs w:val="21"/>
        </w:rPr>
        <w:t>□受审核方管理体系文件□适用的法律法规□认证合同</w:t>
      </w:r>
    </w:p>
    <w:p>
      <w:pPr>
        <w:tabs>
          <w:tab w:val="left" w:pos="645"/>
        </w:tabs>
        <w:rPr>
          <w:b/>
          <w:sz w:val="16"/>
          <w:szCs w:val="16"/>
        </w:rPr>
      </w:pPr>
      <w:r>
        <w:rPr>
          <w:rFonts w:hint="eastAsia"/>
          <w:b/>
          <w:sz w:val="26"/>
          <w:szCs w:val="26"/>
        </w:rPr>
        <w:t>四、受审核方基本信息</w:t>
      </w:r>
    </w:p>
    <w:tbl>
      <w:tblPr>
        <w:tblStyle w:val="6"/>
        <w:tblW w:w="98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1"/>
        <w:gridCol w:w="1177"/>
        <w:gridCol w:w="1689"/>
        <w:gridCol w:w="1109"/>
        <w:gridCol w:w="1609"/>
        <w:gridCol w:w="9"/>
        <w:gridCol w:w="1672"/>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2218" w:type="dxa"/>
            <w:gridSpan w:val="2"/>
            <w:vAlign w:val="center"/>
          </w:tcPr>
          <w:p>
            <w:pPr>
              <w:spacing w:line="260" w:lineRule="exact"/>
              <w:jc w:val="center"/>
              <w:rPr>
                <w:rFonts w:ascii="宋体"/>
                <w:b/>
                <w:sz w:val="16"/>
                <w:szCs w:val="16"/>
              </w:rPr>
            </w:pPr>
            <w:r>
              <w:rPr>
                <w:rFonts w:hint="eastAsia" w:ascii="宋体" w:hAnsi="宋体"/>
                <w:b/>
                <w:sz w:val="21"/>
              </w:rPr>
              <w:t>受审核方名称</w:t>
            </w:r>
          </w:p>
        </w:tc>
        <w:tc>
          <w:tcPr>
            <w:tcW w:w="4416" w:type="dxa"/>
            <w:gridSpan w:val="4"/>
          </w:tcPr>
          <w:p>
            <w:pPr>
              <w:spacing w:line="260" w:lineRule="exact"/>
              <w:rPr>
                <w:rFonts w:ascii="宋体"/>
                <w:b/>
                <w:color w:val="FF0000"/>
                <w:sz w:val="21"/>
              </w:rPr>
            </w:pPr>
            <w:bookmarkStart w:id="10" w:name="组织名称Add"/>
            <w:r>
              <w:rPr>
                <w:rFonts w:ascii="宋体"/>
                <w:b/>
                <w:color w:val="FF0000"/>
                <w:sz w:val="21"/>
              </w:rPr>
              <w:t>北京美亚安数科技有限公司</w:t>
            </w:r>
            <w:bookmarkEnd w:id="10"/>
          </w:p>
        </w:tc>
        <w:tc>
          <w:tcPr>
            <w:tcW w:w="1672" w:type="dxa"/>
            <w:vAlign w:val="center"/>
          </w:tcPr>
          <w:p>
            <w:pPr>
              <w:spacing w:line="260" w:lineRule="exact"/>
              <w:jc w:val="center"/>
              <w:rPr>
                <w:rFonts w:ascii="宋体"/>
                <w:b/>
                <w:sz w:val="21"/>
              </w:rPr>
            </w:pPr>
            <w:r>
              <w:rPr>
                <w:rFonts w:hint="eastAsia" w:ascii="宋体" w:hAnsi="宋体"/>
                <w:b/>
                <w:sz w:val="21"/>
              </w:rPr>
              <w:t>组织人数及</w:t>
            </w:r>
          </w:p>
          <w:p>
            <w:pPr>
              <w:spacing w:line="200" w:lineRule="exact"/>
              <w:rPr>
                <w:b/>
                <w:spacing w:val="-20"/>
              </w:rPr>
            </w:pPr>
            <w:r>
              <w:rPr>
                <w:rFonts w:hint="eastAsia" w:ascii="宋体" w:hAnsi="宋体"/>
                <w:b/>
                <w:sz w:val="21"/>
              </w:rPr>
              <w:t>变动情况核实</w:t>
            </w:r>
          </w:p>
        </w:tc>
        <w:tc>
          <w:tcPr>
            <w:tcW w:w="1500" w:type="dxa"/>
          </w:tcPr>
          <w:p>
            <w:pPr>
              <w:spacing w:line="260" w:lineRule="exact"/>
              <w:rPr>
                <w:rFonts w:hint="default" w:ascii="宋体" w:eastAsia="宋体"/>
                <w:b/>
                <w:sz w:val="21"/>
                <w:lang w:val="en-US" w:eastAsia="zh-CN"/>
              </w:rPr>
            </w:pPr>
            <w:r>
              <w:rPr>
                <w:rFonts w:hint="eastAsia" w:ascii="宋体"/>
                <w:b/>
                <w:sz w:val="21"/>
                <w:lang w:val="en-US" w:eastAsia="zh-CN"/>
              </w:rPr>
              <w:t>10人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2218" w:type="dxa"/>
            <w:gridSpan w:val="2"/>
            <w:vAlign w:val="center"/>
          </w:tcPr>
          <w:p>
            <w:pPr>
              <w:jc w:val="center"/>
              <w:rPr>
                <w:b/>
                <w:sz w:val="16"/>
                <w:szCs w:val="16"/>
              </w:rPr>
            </w:pPr>
            <w:r>
              <w:rPr>
                <w:rFonts w:hint="eastAsia" w:ascii="宋体" w:hAnsi="宋体"/>
                <w:b/>
                <w:sz w:val="21"/>
                <w:szCs w:val="21"/>
              </w:rPr>
              <w:t>注册地址</w:t>
            </w:r>
          </w:p>
        </w:tc>
        <w:tc>
          <w:tcPr>
            <w:tcW w:w="4416" w:type="dxa"/>
            <w:gridSpan w:val="4"/>
          </w:tcPr>
          <w:p>
            <w:pPr>
              <w:rPr>
                <w:rFonts w:ascii="宋体"/>
                <w:b/>
                <w:sz w:val="21"/>
              </w:rPr>
            </w:pPr>
            <w:bookmarkStart w:id="11" w:name="注册地址"/>
            <w:r>
              <w:rPr>
                <w:rFonts w:ascii="宋体"/>
                <w:b/>
                <w:sz w:val="21"/>
              </w:rPr>
              <w:t>北京市怀柔区杨宋镇凤翔东大街9号201室</w:t>
            </w:r>
            <w:bookmarkEnd w:id="11"/>
          </w:p>
        </w:tc>
        <w:tc>
          <w:tcPr>
            <w:tcW w:w="1672" w:type="dxa"/>
            <w:vMerge w:val="restart"/>
            <w:vAlign w:val="center"/>
          </w:tcPr>
          <w:p>
            <w:pPr>
              <w:jc w:val="center"/>
              <w:rPr>
                <w:rFonts w:ascii="宋体"/>
                <w:b/>
                <w:sz w:val="21"/>
              </w:rPr>
            </w:pPr>
            <w:r>
              <w:rPr>
                <w:rFonts w:hint="eastAsia" w:ascii="宋体" w:hAnsi="宋体"/>
                <w:b/>
                <w:sz w:val="21"/>
              </w:rPr>
              <w:t>邮编</w:t>
            </w:r>
          </w:p>
        </w:tc>
        <w:tc>
          <w:tcPr>
            <w:tcW w:w="1500" w:type="dxa"/>
          </w:tcPr>
          <w:p>
            <w:pPr>
              <w:rPr>
                <w:rFonts w:ascii="宋体"/>
                <w:b/>
                <w:sz w:val="21"/>
              </w:rPr>
            </w:pPr>
            <w:bookmarkStart w:id="12" w:name="注册邮编"/>
            <w:r>
              <w:rPr>
                <w:rFonts w:ascii="宋体"/>
                <w:b/>
                <w:sz w:val="21"/>
              </w:rPr>
              <w:t>101121</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2218" w:type="dxa"/>
            <w:gridSpan w:val="2"/>
            <w:vAlign w:val="center"/>
          </w:tcPr>
          <w:p>
            <w:pPr>
              <w:jc w:val="center"/>
              <w:rPr>
                <w:rFonts w:ascii="宋体"/>
                <w:b/>
                <w:sz w:val="21"/>
                <w:szCs w:val="21"/>
              </w:rPr>
            </w:pPr>
            <w:r>
              <w:rPr>
                <w:rFonts w:hint="eastAsia" w:ascii="宋体" w:hAnsi="宋体"/>
                <w:b/>
                <w:sz w:val="21"/>
                <w:szCs w:val="21"/>
              </w:rPr>
              <w:t>经营地址</w:t>
            </w:r>
          </w:p>
        </w:tc>
        <w:tc>
          <w:tcPr>
            <w:tcW w:w="4416" w:type="dxa"/>
            <w:gridSpan w:val="4"/>
          </w:tcPr>
          <w:p>
            <w:pPr>
              <w:rPr>
                <w:rFonts w:ascii="宋体"/>
                <w:b/>
                <w:sz w:val="21"/>
              </w:rPr>
            </w:pPr>
            <w:bookmarkStart w:id="13" w:name="生产地址"/>
            <w:r>
              <w:rPr>
                <w:rFonts w:ascii="宋体"/>
                <w:b/>
                <w:sz w:val="21"/>
              </w:rPr>
              <w:t>北京市通州区梨园镇瑞都公园世家28号楼505室</w:t>
            </w:r>
            <w:bookmarkEnd w:id="13"/>
          </w:p>
        </w:tc>
        <w:tc>
          <w:tcPr>
            <w:tcW w:w="1672" w:type="dxa"/>
            <w:vMerge w:val="continue"/>
            <w:vAlign w:val="center"/>
          </w:tcPr>
          <w:p>
            <w:pPr>
              <w:jc w:val="center"/>
              <w:rPr>
                <w:rFonts w:ascii="宋体"/>
                <w:b/>
                <w:sz w:val="21"/>
              </w:rPr>
            </w:pPr>
          </w:p>
        </w:tc>
        <w:tc>
          <w:tcPr>
            <w:tcW w:w="1500" w:type="dxa"/>
          </w:tcPr>
          <w:p>
            <w:pPr>
              <w:rPr>
                <w:rFonts w:ascii="宋体"/>
                <w:b/>
                <w:sz w:val="21"/>
              </w:rPr>
            </w:pPr>
            <w:bookmarkStart w:id="14" w:name="办公邮编"/>
            <w:r>
              <w:rPr>
                <w:rFonts w:ascii="宋体"/>
                <w:b/>
                <w:sz w:val="21"/>
              </w:rPr>
              <w:t>101121</w:t>
            </w:r>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2218" w:type="dxa"/>
            <w:gridSpan w:val="2"/>
            <w:vAlign w:val="center"/>
          </w:tcPr>
          <w:p>
            <w:pPr>
              <w:jc w:val="center"/>
              <w:rPr>
                <w:rFonts w:ascii="宋体"/>
                <w:b/>
                <w:color w:val="000000"/>
                <w:sz w:val="21"/>
                <w:szCs w:val="21"/>
              </w:rPr>
            </w:pPr>
            <w:r>
              <w:rPr>
                <w:rFonts w:hint="eastAsia" w:ascii="宋体" w:hAnsi="宋体"/>
                <w:b/>
                <w:color w:val="000000"/>
                <w:sz w:val="21"/>
                <w:szCs w:val="21"/>
              </w:rPr>
              <w:t>生产地址</w:t>
            </w:r>
          </w:p>
        </w:tc>
        <w:tc>
          <w:tcPr>
            <w:tcW w:w="4416" w:type="dxa"/>
            <w:gridSpan w:val="4"/>
          </w:tcPr>
          <w:p>
            <w:pPr>
              <w:rPr>
                <w:rFonts w:ascii="宋体"/>
                <w:b/>
                <w:sz w:val="21"/>
              </w:rPr>
            </w:pPr>
            <w:bookmarkStart w:id="15" w:name="生产地址Add"/>
            <w:r>
              <w:rPr>
                <w:rFonts w:ascii="宋体"/>
                <w:b/>
                <w:sz w:val="21"/>
              </w:rPr>
              <w:t>北京市通州区梨园镇瑞都公园世家28号楼505室</w:t>
            </w:r>
            <w:bookmarkEnd w:id="15"/>
          </w:p>
        </w:tc>
        <w:tc>
          <w:tcPr>
            <w:tcW w:w="1672" w:type="dxa"/>
            <w:vMerge w:val="continue"/>
            <w:vAlign w:val="center"/>
          </w:tcPr>
          <w:p>
            <w:pPr>
              <w:jc w:val="center"/>
              <w:rPr>
                <w:rFonts w:ascii="宋体"/>
                <w:b/>
                <w:sz w:val="21"/>
              </w:rPr>
            </w:pPr>
          </w:p>
        </w:tc>
        <w:tc>
          <w:tcPr>
            <w:tcW w:w="1500" w:type="dxa"/>
          </w:tcPr>
          <w:p>
            <w:pPr>
              <w:rPr>
                <w:rFonts w:ascii="宋体"/>
                <w:b/>
                <w:sz w:val="21"/>
              </w:rPr>
            </w:pPr>
            <w:bookmarkStart w:id="16" w:name="生产邮编"/>
            <w:r>
              <w:rPr>
                <w:rFonts w:ascii="宋体"/>
                <w:b/>
                <w:sz w:val="21"/>
              </w:rPr>
              <w:t>101121</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2218" w:type="dxa"/>
            <w:gridSpan w:val="2"/>
            <w:vAlign w:val="center"/>
          </w:tcPr>
          <w:p>
            <w:pPr>
              <w:jc w:val="center"/>
              <w:rPr>
                <w:rFonts w:ascii="宋体"/>
                <w:b/>
                <w:sz w:val="21"/>
              </w:rPr>
            </w:pPr>
            <w:r>
              <w:rPr>
                <w:rFonts w:hint="eastAsia" w:ascii="宋体" w:hAnsi="宋体"/>
                <w:b/>
                <w:sz w:val="21"/>
              </w:rPr>
              <w:t>联系人</w:t>
            </w:r>
          </w:p>
        </w:tc>
        <w:tc>
          <w:tcPr>
            <w:tcW w:w="1689" w:type="dxa"/>
          </w:tcPr>
          <w:p>
            <w:pPr>
              <w:rPr>
                <w:rFonts w:ascii="宋体"/>
                <w:b/>
                <w:sz w:val="21"/>
              </w:rPr>
            </w:pPr>
            <w:bookmarkStart w:id="17" w:name="联系人"/>
            <w:r>
              <w:rPr>
                <w:rFonts w:ascii="宋体"/>
                <w:b/>
                <w:sz w:val="21"/>
              </w:rPr>
              <w:t>张凯</w:t>
            </w:r>
            <w:bookmarkEnd w:id="17"/>
          </w:p>
        </w:tc>
        <w:tc>
          <w:tcPr>
            <w:tcW w:w="1109" w:type="dxa"/>
            <w:vAlign w:val="center"/>
          </w:tcPr>
          <w:p>
            <w:pPr>
              <w:jc w:val="center"/>
              <w:rPr>
                <w:rFonts w:ascii="宋体"/>
                <w:b/>
                <w:sz w:val="21"/>
              </w:rPr>
            </w:pPr>
            <w:r>
              <w:rPr>
                <w:rFonts w:hint="eastAsia" w:ascii="宋体" w:hAnsi="宋体"/>
                <w:b/>
                <w:sz w:val="21"/>
              </w:rPr>
              <w:t>电话</w:t>
            </w:r>
            <w:r>
              <w:rPr>
                <w:b/>
                <w:sz w:val="16"/>
                <w:szCs w:val="16"/>
              </w:rPr>
              <w:t>.</w:t>
            </w:r>
          </w:p>
        </w:tc>
        <w:tc>
          <w:tcPr>
            <w:tcW w:w="1618" w:type="dxa"/>
            <w:gridSpan w:val="2"/>
            <w:vAlign w:val="center"/>
          </w:tcPr>
          <w:p>
            <w:pPr>
              <w:jc w:val="center"/>
              <w:rPr>
                <w:rFonts w:ascii="宋体"/>
                <w:b/>
                <w:sz w:val="21"/>
              </w:rPr>
            </w:pPr>
            <w:bookmarkStart w:id="18" w:name="联系人电话Add"/>
            <w:r>
              <w:rPr>
                <w:rFonts w:ascii="宋体"/>
                <w:b/>
                <w:sz w:val="21"/>
              </w:rPr>
              <w:t>15510285387</w:t>
            </w:r>
            <w:bookmarkEnd w:id="18"/>
          </w:p>
        </w:tc>
        <w:tc>
          <w:tcPr>
            <w:tcW w:w="1672" w:type="dxa"/>
            <w:vAlign w:val="center"/>
          </w:tcPr>
          <w:p>
            <w:pPr>
              <w:jc w:val="center"/>
              <w:rPr>
                <w:rFonts w:ascii="宋体"/>
                <w:b/>
                <w:sz w:val="21"/>
              </w:rPr>
            </w:pPr>
            <w:r>
              <w:rPr>
                <w:rFonts w:hint="eastAsia" w:ascii="宋体" w:hAnsi="宋体"/>
                <w:b/>
                <w:sz w:val="21"/>
              </w:rPr>
              <w:t>传真</w:t>
            </w:r>
          </w:p>
        </w:tc>
        <w:tc>
          <w:tcPr>
            <w:tcW w:w="1500" w:type="dxa"/>
          </w:tcPr>
          <w:p>
            <w:pPr>
              <w:rPr>
                <w:rFonts w:ascii="宋体"/>
                <w:b/>
                <w:sz w:val="21"/>
              </w:rPr>
            </w:pPr>
            <w:bookmarkStart w:id="19" w:name="联系人传真"/>
            <w:bookmarkEnd w:id="1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18" w:type="dxa"/>
            <w:gridSpan w:val="2"/>
            <w:vAlign w:val="center"/>
          </w:tcPr>
          <w:p>
            <w:pPr>
              <w:jc w:val="center"/>
              <w:rPr>
                <w:rFonts w:ascii="宋体" w:hAnsi="宋体"/>
                <w:b/>
                <w:sz w:val="21"/>
                <w:szCs w:val="21"/>
              </w:rPr>
            </w:pPr>
            <w:r>
              <w:rPr>
                <w:rFonts w:hint="eastAsia" w:ascii="宋体" w:hAnsi="宋体"/>
                <w:b/>
                <w:sz w:val="21"/>
                <w:szCs w:val="21"/>
              </w:rPr>
              <w:t>法人代表</w:t>
            </w:r>
          </w:p>
        </w:tc>
        <w:tc>
          <w:tcPr>
            <w:tcW w:w="1689" w:type="dxa"/>
          </w:tcPr>
          <w:p>
            <w:pPr>
              <w:rPr>
                <w:rFonts w:ascii="宋体" w:hAnsi="宋体"/>
                <w:b/>
                <w:sz w:val="21"/>
                <w:szCs w:val="21"/>
              </w:rPr>
            </w:pPr>
            <w:bookmarkStart w:id="20" w:name="法人"/>
            <w:r>
              <w:rPr>
                <w:rFonts w:ascii="宋体" w:hAnsi="宋体"/>
                <w:b/>
                <w:sz w:val="21"/>
                <w:szCs w:val="21"/>
              </w:rPr>
              <w:t>张凯</w:t>
            </w:r>
            <w:bookmarkEnd w:id="20"/>
          </w:p>
        </w:tc>
        <w:tc>
          <w:tcPr>
            <w:tcW w:w="1109" w:type="dxa"/>
            <w:vAlign w:val="center"/>
          </w:tcPr>
          <w:p>
            <w:pPr>
              <w:jc w:val="center"/>
              <w:rPr>
                <w:rFonts w:ascii="宋体" w:hAnsi="宋体"/>
                <w:b/>
                <w:sz w:val="21"/>
                <w:szCs w:val="21"/>
              </w:rPr>
            </w:pPr>
            <w:r>
              <w:rPr>
                <w:rFonts w:hint="eastAsia" w:ascii="宋体" w:hAnsi="宋体"/>
                <w:b/>
                <w:sz w:val="21"/>
                <w:szCs w:val="21"/>
              </w:rPr>
              <w:t>总经理</w:t>
            </w:r>
          </w:p>
        </w:tc>
        <w:tc>
          <w:tcPr>
            <w:tcW w:w="1618" w:type="dxa"/>
            <w:gridSpan w:val="2"/>
          </w:tcPr>
          <w:p>
            <w:pPr>
              <w:rPr>
                <w:rFonts w:ascii="宋体" w:hAnsi="宋体"/>
                <w:b/>
                <w:sz w:val="21"/>
                <w:szCs w:val="21"/>
              </w:rPr>
            </w:pPr>
          </w:p>
        </w:tc>
        <w:tc>
          <w:tcPr>
            <w:tcW w:w="1672" w:type="dxa"/>
            <w:vAlign w:val="center"/>
          </w:tcPr>
          <w:p>
            <w:pPr>
              <w:jc w:val="center"/>
              <w:rPr>
                <w:rFonts w:ascii="宋体" w:hAnsi="宋体"/>
                <w:b/>
                <w:sz w:val="21"/>
                <w:szCs w:val="21"/>
              </w:rPr>
            </w:pPr>
            <w:r>
              <w:rPr>
                <w:rFonts w:hint="eastAsia" w:ascii="宋体" w:hAnsi="宋体"/>
                <w:b/>
                <w:sz w:val="21"/>
                <w:szCs w:val="21"/>
              </w:rPr>
              <w:t>管理者代表</w:t>
            </w:r>
          </w:p>
        </w:tc>
        <w:tc>
          <w:tcPr>
            <w:tcW w:w="1500" w:type="dxa"/>
          </w:tcPr>
          <w:p>
            <w:pPr>
              <w:rPr>
                <w:rFonts w:ascii="宋体"/>
                <w:b/>
                <w:sz w:val="21"/>
              </w:rPr>
            </w:pPr>
            <w:bookmarkStart w:id="21" w:name="管理者代表"/>
            <w:r>
              <w:rPr>
                <w:rFonts w:ascii="宋体"/>
                <w:b/>
                <w:sz w:val="21"/>
              </w:rPr>
              <w:t>杨涛</w:t>
            </w:r>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2218" w:type="dxa"/>
            <w:gridSpan w:val="2"/>
            <w:vAlign w:val="center"/>
          </w:tcPr>
          <w:p>
            <w:pPr>
              <w:jc w:val="center"/>
              <w:rPr>
                <w:rFonts w:ascii="宋体" w:hAnsi="宋体"/>
                <w:b/>
                <w:sz w:val="21"/>
                <w:szCs w:val="21"/>
              </w:rPr>
            </w:pPr>
            <w:r>
              <w:rPr>
                <w:rFonts w:hint="eastAsia" w:ascii="宋体" w:hAnsi="宋体"/>
                <w:b/>
                <w:sz w:val="21"/>
                <w:szCs w:val="21"/>
              </w:rPr>
              <w:t>审核日期</w:t>
            </w:r>
          </w:p>
        </w:tc>
        <w:tc>
          <w:tcPr>
            <w:tcW w:w="2798" w:type="dxa"/>
            <w:gridSpan w:val="2"/>
            <w:vAlign w:val="center"/>
          </w:tcPr>
          <w:p>
            <w:pPr>
              <w:rPr>
                <w:rFonts w:ascii="宋体" w:hAnsi="宋体"/>
                <w:b/>
                <w:sz w:val="21"/>
                <w:szCs w:val="21"/>
              </w:rPr>
            </w:pPr>
            <w:bookmarkStart w:id="22" w:name="审核日期"/>
            <w:r>
              <w:rPr>
                <w:rFonts w:ascii="宋体" w:hAnsi="宋体"/>
                <w:b/>
                <w:sz w:val="21"/>
                <w:szCs w:val="21"/>
              </w:rPr>
              <w:t>2021年07月11日 上午至2021年07月11日 下午</w:t>
            </w:r>
            <w:bookmarkEnd w:id="22"/>
          </w:p>
        </w:tc>
        <w:tc>
          <w:tcPr>
            <w:tcW w:w="1609" w:type="dxa"/>
            <w:vAlign w:val="center"/>
          </w:tcPr>
          <w:p>
            <w:pPr>
              <w:rPr>
                <w:rFonts w:ascii="宋体" w:hAnsi="宋体"/>
                <w:b/>
                <w:sz w:val="21"/>
                <w:szCs w:val="21"/>
              </w:rPr>
            </w:pPr>
            <w:r>
              <w:rPr>
                <w:rFonts w:hint="eastAsia" w:ascii="宋体" w:hAnsi="宋体"/>
                <w:b/>
                <w:sz w:val="21"/>
                <w:szCs w:val="21"/>
              </w:rPr>
              <w:t>一体化审核</w:t>
            </w:r>
          </w:p>
        </w:tc>
        <w:tc>
          <w:tcPr>
            <w:tcW w:w="3181" w:type="dxa"/>
            <w:gridSpan w:val="3"/>
            <w:vAlign w:val="center"/>
          </w:tcPr>
          <w:p>
            <w:pPr>
              <w:rPr>
                <w:rFonts w:ascii="宋体" w:hAnsi="宋体"/>
                <w:b/>
                <w:sz w:val="21"/>
                <w:szCs w:val="21"/>
              </w:rPr>
            </w:pPr>
            <w:r>
              <w:rPr>
                <w:rFonts w:hint="eastAsia" w:ascii="宋体" w:hAnsi="宋体"/>
                <w:b/>
                <w:sz w:val="21"/>
                <w:szCs w:val="21"/>
                <w:lang w:eastAsia="zh-CN"/>
              </w:rPr>
              <w:t>☑</w:t>
            </w:r>
            <w:r>
              <w:rPr>
                <w:rFonts w:hint="eastAsia" w:ascii="宋体" w:hAnsi="宋体"/>
                <w:b/>
                <w:sz w:val="21"/>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6" w:hRule="atLeast"/>
          <w:jc w:val="center"/>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产品</w:t>
            </w:r>
            <w:r>
              <w:rPr>
                <w:rFonts w:ascii="宋体" w:hAnsi="宋体"/>
                <w:b/>
                <w:sz w:val="21"/>
                <w:szCs w:val="21"/>
              </w:rPr>
              <w:t>/</w:t>
            </w:r>
            <w:r>
              <w:rPr>
                <w:rFonts w:hint="eastAsia" w:ascii="宋体" w:hAnsi="宋体"/>
                <w:b/>
                <w:sz w:val="21"/>
                <w:szCs w:val="21"/>
              </w:rPr>
              <w:t>服务认证范围</w:t>
            </w:r>
          </w:p>
        </w:tc>
        <w:tc>
          <w:tcPr>
            <w:tcW w:w="7588" w:type="dxa"/>
            <w:gridSpan w:val="6"/>
          </w:tcPr>
          <w:p>
            <w:pPr>
              <w:spacing w:line="0" w:lineRule="atLeast"/>
              <w:jc w:val="left"/>
              <w:rPr>
                <w:rFonts w:hint="eastAsia" w:ascii="宋体" w:hAnsi="宋体"/>
              </w:rPr>
            </w:pPr>
            <w:bookmarkStart w:id="23" w:name="审核范围"/>
            <w:r>
              <w:rPr>
                <w:rFonts w:hint="eastAsia" w:ascii="宋体" w:hAnsi="宋体"/>
              </w:rPr>
              <w:t>Q：应用软件开发（医疗器械软件除外）；电子产品的销售</w:t>
            </w:r>
          </w:p>
          <w:p>
            <w:pPr>
              <w:spacing w:line="0" w:lineRule="atLeast"/>
              <w:jc w:val="left"/>
              <w:rPr>
                <w:rFonts w:hint="eastAsia" w:ascii="宋体" w:hAnsi="宋体"/>
              </w:rPr>
            </w:pPr>
            <w:r>
              <w:rPr>
                <w:rFonts w:hint="eastAsia" w:ascii="宋体" w:hAnsi="宋体"/>
              </w:rPr>
              <w:t>E：应用软件开发（医疗器械软件除外）；电子产品的销售及相关环境管理活动</w:t>
            </w:r>
          </w:p>
          <w:p>
            <w:pPr>
              <w:spacing w:line="360" w:lineRule="exact"/>
              <w:rPr>
                <w:rFonts w:ascii="宋体" w:hAnsi="宋体"/>
                <w:b/>
                <w:sz w:val="21"/>
                <w:szCs w:val="21"/>
              </w:rPr>
            </w:pPr>
            <w:r>
              <w:rPr>
                <w:rFonts w:hint="eastAsia" w:ascii="宋体" w:hAnsi="宋体"/>
              </w:rPr>
              <w:t>O：应用软件开发（医疗器械软件除外）；电子产品的销售及相关职业健康安全管理活动</w:t>
            </w:r>
            <w:bookmarkEnd w:id="23"/>
            <w:r>
              <w:rPr>
                <w:rFonts w:hint="eastAsia" w:ascii="宋体" w:hAnsi="宋体"/>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8" w:hRule="atLeast"/>
          <w:jc w:val="center"/>
        </w:trPr>
        <w:tc>
          <w:tcPr>
            <w:tcW w:w="1041" w:type="dxa"/>
            <w:vAlign w:val="center"/>
          </w:tcPr>
          <w:p>
            <w:pPr>
              <w:spacing w:line="260" w:lineRule="exact"/>
              <w:jc w:val="center"/>
              <w:rPr>
                <w:rFonts w:ascii="宋体" w:hAnsi="宋体"/>
                <w:b/>
                <w:sz w:val="21"/>
                <w:szCs w:val="21"/>
              </w:rPr>
            </w:pPr>
            <w:r>
              <w:rPr>
                <w:rFonts w:hint="eastAsia" w:ascii="宋体" w:hAnsi="宋体"/>
                <w:b/>
                <w:sz w:val="21"/>
                <w:szCs w:val="21"/>
              </w:rPr>
              <w:t>是否要求变更</w:t>
            </w:r>
          </w:p>
          <w:p>
            <w:pPr>
              <w:spacing w:line="180" w:lineRule="exact"/>
              <w:jc w:val="center"/>
              <w:rPr>
                <w:rFonts w:ascii="宋体" w:hAnsi="宋体"/>
                <w:b/>
                <w:sz w:val="21"/>
                <w:szCs w:val="21"/>
              </w:rPr>
            </w:pPr>
          </w:p>
        </w:tc>
        <w:tc>
          <w:tcPr>
            <w:tcW w:w="1177" w:type="dxa"/>
            <w:vAlign w:val="center"/>
          </w:tcPr>
          <w:p>
            <w:pPr>
              <w:spacing w:line="260" w:lineRule="exact"/>
              <w:rPr>
                <w:rFonts w:ascii="宋体" w:hAnsi="宋体"/>
                <w:b/>
                <w:sz w:val="21"/>
                <w:szCs w:val="21"/>
              </w:rPr>
            </w:pPr>
            <w:r>
              <w:rPr>
                <w:rFonts w:hint="eastAsia" w:ascii="宋体" w:hAnsi="宋体"/>
                <w:b/>
                <w:sz w:val="21"/>
                <w:szCs w:val="21"/>
              </w:rPr>
              <w:t>□是</w:t>
            </w:r>
          </w:p>
          <w:p>
            <w:pPr>
              <w:spacing w:line="260" w:lineRule="exact"/>
              <w:jc w:val="center"/>
              <w:rPr>
                <w:rFonts w:ascii="宋体" w:hAnsi="宋体"/>
                <w:b/>
                <w:sz w:val="21"/>
                <w:szCs w:val="21"/>
              </w:rPr>
            </w:pPr>
          </w:p>
          <w:p>
            <w:pPr>
              <w:spacing w:line="260" w:lineRule="exact"/>
              <w:rPr>
                <w:rFonts w:ascii="宋体" w:hAnsi="宋体"/>
                <w:b/>
                <w:sz w:val="21"/>
                <w:szCs w:val="21"/>
              </w:rPr>
            </w:pPr>
            <w:r>
              <w:rPr>
                <w:rFonts w:hint="eastAsia" w:ascii="宋体" w:hAnsi="宋体"/>
                <w:b/>
                <w:sz w:val="21"/>
                <w:szCs w:val="21"/>
                <w:lang w:eastAsia="zh-CN"/>
              </w:rPr>
              <w:t>☑</w:t>
            </w:r>
            <w:r>
              <w:rPr>
                <w:rFonts w:hint="eastAsia" w:ascii="宋体" w:hAnsi="宋体"/>
                <w:b/>
                <w:sz w:val="21"/>
                <w:szCs w:val="21"/>
              </w:rPr>
              <w:t>否</w:t>
            </w:r>
          </w:p>
        </w:tc>
        <w:tc>
          <w:tcPr>
            <w:tcW w:w="7588" w:type="dxa"/>
            <w:gridSpan w:val="6"/>
          </w:tcPr>
          <w:p>
            <w:pPr>
              <w:spacing w:line="360" w:lineRule="exact"/>
              <w:rPr>
                <w:rFonts w:ascii="宋体" w:hAnsi="宋体"/>
                <w:b/>
                <w:sz w:val="21"/>
                <w:szCs w:val="21"/>
              </w:rPr>
            </w:pPr>
            <w:r>
              <w:rPr>
                <w:rFonts w:hint="eastAsia" w:ascii="宋体" w:hAnsi="宋体"/>
                <w:b/>
                <w:sz w:val="21"/>
                <w:szCs w:val="21"/>
              </w:rPr>
              <w:t>变更的认证范围</w:t>
            </w:r>
            <w:r>
              <w:rPr>
                <w:rFonts w:ascii="宋体" w:hAnsi="宋体"/>
                <w:b/>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专业代码</w:t>
            </w:r>
          </w:p>
        </w:tc>
        <w:tc>
          <w:tcPr>
            <w:tcW w:w="1689" w:type="dxa"/>
          </w:tcPr>
          <w:p>
            <w:pPr>
              <w:spacing w:line="260" w:lineRule="exact"/>
              <w:rPr>
                <w:rFonts w:ascii="宋体" w:hAnsi="宋体"/>
                <w:b/>
                <w:sz w:val="21"/>
                <w:szCs w:val="21"/>
              </w:rPr>
            </w:pPr>
            <w:bookmarkStart w:id="24" w:name="专业代码"/>
            <w:r>
              <w:rPr>
                <w:rFonts w:ascii="宋体" w:hAnsi="宋体"/>
                <w:b/>
                <w:sz w:val="21"/>
                <w:szCs w:val="21"/>
              </w:rPr>
              <w:t>Q：29.09.02;33.02.01</w:t>
            </w:r>
          </w:p>
          <w:p>
            <w:pPr>
              <w:spacing w:line="260" w:lineRule="exact"/>
              <w:rPr>
                <w:rFonts w:ascii="宋体" w:hAnsi="宋体"/>
                <w:b/>
                <w:sz w:val="21"/>
                <w:szCs w:val="21"/>
              </w:rPr>
            </w:pPr>
            <w:r>
              <w:rPr>
                <w:rFonts w:ascii="宋体" w:hAnsi="宋体"/>
                <w:b/>
                <w:sz w:val="21"/>
                <w:szCs w:val="21"/>
              </w:rPr>
              <w:t>E：29.09.02;33.02.01</w:t>
            </w:r>
          </w:p>
          <w:p>
            <w:pPr>
              <w:spacing w:line="260" w:lineRule="exact"/>
              <w:rPr>
                <w:rFonts w:ascii="宋体" w:hAnsi="宋体"/>
                <w:b/>
                <w:sz w:val="21"/>
                <w:szCs w:val="21"/>
              </w:rPr>
            </w:pPr>
            <w:r>
              <w:rPr>
                <w:rFonts w:ascii="宋体" w:hAnsi="宋体"/>
                <w:b/>
                <w:sz w:val="21"/>
                <w:szCs w:val="21"/>
              </w:rPr>
              <w:t>O：29.09.02;33.02.01</w:t>
            </w:r>
            <w:bookmarkEnd w:id="24"/>
          </w:p>
        </w:tc>
        <w:tc>
          <w:tcPr>
            <w:tcW w:w="1109" w:type="dxa"/>
            <w:vAlign w:val="center"/>
          </w:tcPr>
          <w:p>
            <w:pPr>
              <w:spacing w:line="260" w:lineRule="exact"/>
              <w:jc w:val="center"/>
              <w:rPr>
                <w:rFonts w:ascii="宋体" w:hAnsi="宋体"/>
                <w:b/>
                <w:sz w:val="21"/>
                <w:szCs w:val="21"/>
              </w:rPr>
            </w:pPr>
            <w:r>
              <w:rPr>
                <w:rFonts w:hint="eastAsia" w:ascii="宋体" w:hAnsi="宋体"/>
                <w:b/>
                <w:sz w:val="21"/>
                <w:szCs w:val="21"/>
              </w:rPr>
              <w:t>证书有</w:t>
            </w:r>
          </w:p>
          <w:p>
            <w:pPr>
              <w:spacing w:line="260" w:lineRule="exact"/>
              <w:jc w:val="center"/>
              <w:rPr>
                <w:rFonts w:ascii="宋体" w:hAnsi="宋体"/>
                <w:b/>
                <w:sz w:val="21"/>
                <w:szCs w:val="21"/>
              </w:rPr>
            </w:pPr>
            <w:r>
              <w:rPr>
                <w:rFonts w:hint="eastAsia" w:ascii="宋体" w:hAnsi="宋体"/>
                <w:b/>
                <w:sz w:val="21"/>
                <w:szCs w:val="21"/>
              </w:rPr>
              <w:t>效期</w:t>
            </w:r>
          </w:p>
        </w:tc>
        <w:tc>
          <w:tcPr>
            <w:tcW w:w="1618" w:type="dxa"/>
            <w:gridSpan w:val="2"/>
          </w:tcPr>
          <w:p>
            <w:pPr>
              <w:spacing w:line="260" w:lineRule="exact"/>
              <w:rPr>
                <w:rFonts w:hint="eastAsia" w:ascii="宋体" w:hAnsi="宋体"/>
                <w:b/>
                <w:sz w:val="21"/>
                <w:szCs w:val="21"/>
                <w:lang w:val="en-US" w:eastAsia="zh-CN"/>
              </w:rPr>
            </w:pPr>
          </w:p>
          <w:p>
            <w:pPr>
              <w:spacing w:line="260" w:lineRule="exact"/>
              <w:rPr>
                <w:rFonts w:hint="eastAsia" w:ascii="宋体" w:hAnsi="宋体"/>
                <w:b/>
                <w:sz w:val="21"/>
                <w:szCs w:val="21"/>
                <w:lang w:val="en-US" w:eastAsia="zh-CN"/>
              </w:rPr>
            </w:pPr>
          </w:p>
          <w:p>
            <w:pPr>
              <w:spacing w:line="260" w:lineRule="exact"/>
              <w:rPr>
                <w:rFonts w:hint="eastAsia" w:ascii="宋体" w:hAnsi="宋体"/>
                <w:b/>
                <w:sz w:val="21"/>
                <w:szCs w:val="21"/>
                <w:lang w:val="en-US" w:eastAsia="zh-CN"/>
              </w:rPr>
            </w:pPr>
          </w:p>
          <w:p>
            <w:pPr>
              <w:spacing w:line="260" w:lineRule="exact"/>
              <w:rPr>
                <w:rFonts w:hint="eastAsia" w:ascii="宋体" w:hAnsi="宋体"/>
                <w:b/>
                <w:sz w:val="21"/>
                <w:szCs w:val="21"/>
                <w:lang w:val="en-US" w:eastAsia="zh-CN"/>
              </w:rPr>
            </w:pPr>
          </w:p>
          <w:p>
            <w:pPr>
              <w:spacing w:line="260" w:lineRule="exact"/>
              <w:rPr>
                <w:rFonts w:hint="default" w:ascii="宋体" w:hAnsi="宋体" w:eastAsia="宋体"/>
                <w:b/>
                <w:sz w:val="21"/>
                <w:szCs w:val="21"/>
                <w:lang w:val="en-US" w:eastAsia="zh-CN"/>
              </w:rPr>
            </w:pPr>
            <w:r>
              <w:rPr>
                <w:rFonts w:hint="eastAsia" w:ascii="宋体" w:hAnsi="宋体"/>
                <w:b/>
                <w:sz w:val="21"/>
                <w:szCs w:val="21"/>
                <w:lang w:val="en-US" w:eastAsia="zh-CN"/>
              </w:rPr>
              <w:t>2023-7-21</w:t>
            </w:r>
          </w:p>
        </w:tc>
        <w:tc>
          <w:tcPr>
            <w:tcW w:w="1672" w:type="dxa"/>
            <w:vAlign w:val="center"/>
          </w:tcPr>
          <w:p>
            <w:pPr>
              <w:spacing w:line="260" w:lineRule="exact"/>
              <w:jc w:val="center"/>
              <w:rPr>
                <w:rFonts w:ascii="宋体" w:hAnsi="宋体"/>
                <w:b/>
                <w:sz w:val="21"/>
                <w:szCs w:val="21"/>
              </w:rPr>
            </w:pPr>
            <w:r>
              <w:rPr>
                <w:rFonts w:hint="eastAsia" w:ascii="宋体" w:hAnsi="宋体"/>
                <w:b/>
                <w:sz w:val="21"/>
                <w:szCs w:val="21"/>
              </w:rPr>
              <w:t>上年度</w:t>
            </w:r>
          </w:p>
          <w:p>
            <w:pPr>
              <w:spacing w:line="260" w:lineRule="exact"/>
              <w:jc w:val="center"/>
              <w:rPr>
                <w:rFonts w:ascii="宋体" w:hAnsi="宋体"/>
                <w:b/>
                <w:sz w:val="21"/>
                <w:szCs w:val="21"/>
              </w:rPr>
            </w:pPr>
            <w:r>
              <w:rPr>
                <w:rFonts w:hint="eastAsia" w:ascii="宋体" w:hAnsi="宋体"/>
                <w:b/>
                <w:sz w:val="21"/>
                <w:szCs w:val="21"/>
              </w:rPr>
              <w:t>审核日期</w:t>
            </w:r>
          </w:p>
        </w:tc>
        <w:tc>
          <w:tcPr>
            <w:tcW w:w="1500" w:type="dxa"/>
          </w:tcPr>
          <w:p>
            <w:pPr>
              <w:spacing w:line="260" w:lineRule="exact"/>
              <w:rPr>
                <w:rFonts w:hint="eastAsia" w:ascii="宋体" w:hAnsi="宋体" w:eastAsia="宋体" w:cs="Times New Roman"/>
                <w:b/>
                <w:sz w:val="21"/>
                <w:szCs w:val="21"/>
                <w:lang w:val="en-US" w:eastAsia="zh-CN"/>
              </w:rPr>
            </w:pPr>
          </w:p>
          <w:p>
            <w:pPr>
              <w:spacing w:line="260" w:lineRule="exact"/>
              <w:rPr>
                <w:rFonts w:hint="eastAsia" w:ascii="宋体" w:hAnsi="宋体" w:eastAsia="宋体" w:cs="Times New Roman"/>
                <w:b/>
                <w:sz w:val="21"/>
                <w:szCs w:val="21"/>
                <w:lang w:val="en-US" w:eastAsia="zh-CN"/>
              </w:rPr>
            </w:pPr>
          </w:p>
          <w:p>
            <w:pPr>
              <w:spacing w:line="260" w:lineRule="exact"/>
              <w:rPr>
                <w:rFonts w:ascii="宋体"/>
                <w:b/>
                <w:sz w:val="21"/>
              </w:rPr>
            </w:pPr>
            <w:r>
              <w:rPr>
                <w:rFonts w:hint="eastAsia" w:ascii="宋体" w:hAnsi="宋体" w:eastAsia="宋体" w:cs="Times New Roman"/>
                <w:b/>
                <w:sz w:val="21"/>
                <w:szCs w:val="21"/>
                <w:lang w:val="en-US" w:eastAsia="zh-CN"/>
              </w:rPr>
              <w:t>2020-07-15 -- 2020-07-18</w:t>
            </w:r>
          </w:p>
        </w:tc>
      </w:tr>
    </w:tbl>
    <w:p>
      <w:pPr>
        <w:tabs>
          <w:tab w:val="left" w:pos="645"/>
        </w:tabs>
        <w:spacing w:after="163" w:afterLines="50" w:line="360" w:lineRule="exact"/>
        <w:rPr>
          <w:b/>
          <w:spacing w:val="-6"/>
          <w:sz w:val="16"/>
          <w:szCs w:val="16"/>
        </w:rPr>
      </w:pPr>
      <w:r>
        <w:rPr>
          <w:rFonts w:hint="eastAsia"/>
          <w:b/>
          <w:sz w:val="26"/>
          <w:szCs w:val="26"/>
        </w:rPr>
        <w:t>五、审核活动安排综述</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1. </w:t>
      </w:r>
      <w:r>
        <w:rPr>
          <w:rFonts w:hint="eastAsia" w:ascii="宋体" w:hAnsi="宋体"/>
          <w:b/>
          <w:sz w:val="21"/>
          <w:szCs w:val="21"/>
        </w:rPr>
        <w:t>本次审核活动按相关审核计划执行（见附件</w:t>
      </w:r>
      <w:r>
        <w:rPr>
          <w:rFonts w:ascii="宋体" w:hAnsi="宋体"/>
          <w:b/>
          <w:sz w:val="21"/>
          <w:szCs w:val="21"/>
        </w:rPr>
        <w:t>1</w:t>
      </w:r>
      <w:r>
        <w:rPr>
          <w:rFonts w:hint="eastAsia" w:ascii="宋体" w:hAnsi="宋体"/>
          <w:b/>
          <w:sz w:val="21"/>
          <w:szCs w:val="21"/>
        </w:rPr>
        <w:t>）</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2. </w:t>
      </w:r>
      <w:r>
        <w:rPr>
          <w:rFonts w:hint="eastAsia" w:ascii="宋体" w:hAnsi="宋体"/>
          <w:b/>
          <w:sz w:val="21"/>
          <w:szCs w:val="21"/>
        </w:rPr>
        <w:t>已审核的分场所（分中心、分部或不在一起的部门）、临时</w:t>
      </w:r>
      <w:r>
        <w:rPr>
          <w:rFonts w:ascii="宋体" w:hAnsi="宋体"/>
          <w:b/>
          <w:sz w:val="21"/>
          <w:szCs w:val="21"/>
        </w:rPr>
        <w:t>/</w:t>
      </w:r>
      <w:r>
        <w:rPr>
          <w:rFonts w:hint="eastAsia" w:ascii="宋体" w:hAnsi="宋体"/>
          <w:b/>
          <w:sz w:val="21"/>
          <w:szCs w:val="21"/>
        </w:rPr>
        <w:t>流动场所信息</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3. </w:t>
      </w:r>
      <w:r>
        <w:rPr>
          <w:rFonts w:hint="eastAsia" w:ascii="宋体" w:hAnsi="宋体"/>
          <w:b/>
          <w:sz w:val="21"/>
          <w:szCs w:val="21"/>
        </w:rPr>
        <w:t>已审核具体的产品</w:t>
      </w:r>
      <w:r>
        <w:rPr>
          <w:rFonts w:ascii="宋体" w:hAnsi="宋体"/>
          <w:b/>
          <w:sz w:val="21"/>
          <w:szCs w:val="21"/>
        </w:rPr>
        <w:t>/</w:t>
      </w:r>
      <w:r>
        <w:rPr>
          <w:rFonts w:hint="eastAsia" w:ascii="宋体" w:hAnsi="宋体"/>
          <w:b/>
          <w:sz w:val="21"/>
          <w:szCs w:val="21"/>
        </w:rPr>
        <w:t>服务</w:t>
      </w:r>
      <w:r>
        <w:rPr>
          <w:rFonts w:ascii="宋体" w:hAnsi="宋体"/>
          <w:b/>
          <w:sz w:val="21"/>
          <w:szCs w:val="21"/>
        </w:rPr>
        <w:t>/</w:t>
      </w:r>
      <w:r>
        <w:rPr>
          <w:rFonts w:hint="eastAsia" w:ascii="宋体" w:hAnsi="宋体"/>
          <w:b/>
          <w:sz w:val="21"/>
          <w:szCs w:val="21"/>
        </w:rPr>
        <w:t>型号</w:t>
      </w:r>
      <w:r>
        <w:rPr>
          <w:rFonts w:ascii="宋体" w:hAnsi="宋体"/>
          <w:b/>
          <w:sz w:val="21"/>
          <w:szCs w:val="21"/>
        </w:rPr>
        <w:t>/</w:t>
      </w:r>
      <w:r>
        <w:rPr>
          <w:rFonts w:hint="eastAsia" w:ascii="宋体" w:hAnsi="宋体"/>
          <w:b/>
          <w:sz w:val="21"/>
          <w:szCs w:val="21"/>
        </w:rPr>
        <w:t>类型</w:t>
      </w:r>
      <w:r>
        <w:rPr>
          <w:rFonts w:ascii="宋体" w:hAnsi="宋体"/>
          <w:b/>
          <w:sz w:val="21"/>
          <w:szCs w:val="21"/>
        </w:rPr>
        <w:t>/</w:t>
      </w:r>
      <w:r>
        <w:rPr>
          <w:rFonts w:hint="eastAsia" w:ascii="宋体" w:hAnsi="宋体"/>
          <w:b/>
          <w:sz w:val="21"/>
          <w:szCs w:val="21"/>
        </w:rPr>
        <w:t>系列和过程（设计</w:t>
      </w:r>
      <w:r>
        <w:rPr>
          <w:rFonts w:ascii="宋体" w:hAnsi="宋体"/>
          <w:b/>
          <w:sz w:val="21"/>
          <w:szCs w:val="21"/>
        </w:rPr>
        <w:t>/</w:t>
      </w:r>
      <w:r>
        <w:rPr>
          <w:rFonts w:hint="eastAsia" w:ascii="宋体" w:hAnsi="宋体"/>
          <w:b/>
          <w:sz w:val="21"/>
          <w:szCs w:val="21"/>
        </w:rPr>
        <w:t>生产┄┄）是</w:t>
      </w:r>
    </w:p>
    <w:p>
      <w:pPr>
        <w:spacing w:line="360" w:lineRule="atLeast"/>
        <w:ind w:firstLine="211" w:firstLineChars="100"/>
        <w:rPr>
          <w:rFonts w:ascii="宋体" w:hAnsi="宋体"/>
          <w:b/>
          <w:sz w:val="21"/>
          <w:szCs w:val="21"/>
        </w:rPr>
      </w:pPr>
      <w:r>
        <w:rPr>
          <w:rFonts w:hint="eastAsia" w:ascii="宋体" w:hAnsi="宋体"/>
          <w:b/>
          <w:sz w:val="21"/>
          <w:szCs w:val="21"/>
        </w:rPr>
        <w:t>□本次审核新增加范围的产品</w:t>
      </w:r>
      <w:r>
        <w:rPr>
          <w:rFonts w:ascii="宋体" w:hAnsi="宋体"/>
          <w:b/>
          <w:sz w:val="21"/>
          <w:szCs w:val="21"/>
        </w:rPr>
        <w:t>/</w:t>
      </w:r>
      <w:r>
        <w:rPr>
          <w:rFonts w:hint="eastAsia" w:ascii="宋体" w:hAnsi="宋体"/>
          <w:b/>
          <w:sz w:val="21"/>
          <w:szCs w:val="21"/>
        </w:rPr>
        <w:t>服务抽查了、</w:t>
      </w:r>
    </w:p>
    <w:p>
      <w:pPr>
        <w:spacing w:line="360" w:lineRule="atLeast"/>
        <w:rPr>
          <w:rFonts w:ascii="宋体" w:hAnsi="宋体"/>
          <w:b/>
          <w:sz w:val="21"/>
          <w:szCs w:val="21"/>
        </w:rPr>
      </w:pPr>
      <w:r>
        <w:rPr>
          <w:rFonts w:ascii="宋体" w:hAnsi="宋体"/>
          <w:b/>
          <w:sz w:val="21"/>
          <w:szCs w:val="21"/>
        </w:rPr>
        <w:t xml:space="preserve">4. </w:t>
      </w:r>
      <w:r>
        <w:rPr>
          <w:rFonts w:hint="eastAsia" w:ascii="宋体" w:hAnsi="宋体"/>
          <w:b/>
          <w:sz w:val="21"/>
          <w:szCs w:val="21"/>
        </w:rPr>
        <w:t>本次审核覆盖时间：从上次审核结束日的</w:t>
      </w:r>
      <w:r>
        <w:rPr>
          <w:rFonts w:hint="eastAsia" w:ascii="宋体" w:hAnsi="宋体"/>
          <w:b/>
          <w:sz w:val="21"/>
          <w:szCs w:val="21"/>
          <w:lang w:val="en-US" w:eastAsia="zh-CN"/>
        </w:rPr>
        <w:t>2020</w:t>
      </w:r>
      <w:r>
        <w:rPr>
          <w:rFonts w:hint="eastAsia" w:ascii="宋体" w:hAnsi="宋体"/>
          <w:b/>
          <w:sz w:val="21"/>
          <w:szCs w:val="21"/>
        </w:rPr>
        <w:t>年</w:t>
      </w:r>
      <w:r>
        <w:rPr>
          <w:rFonts w:hint="eastAsia" w:ascii="宋体" w:hAnsi="宋体"/>
          <w:b/>
          <w:sz w:val="21"/>
          <w:szCs w:val="21"/>
          <w:lang w:val="en-US" w:eastAsia="zh-CN"/>
        </w:rPr>
        <w:t>7</w:t>
      </w:r>
      <w:r>
        <w:rPr>
          <w:rFonts w:hint="eastAsia" w:ascii="宋体" w:hAnsi="宋体"/>
          <w:b/>
          <w:sz w:val="21"/>
          <w:szCs w:val="21"/>
        </w:rPr>
        <w:t>月</w:t>
      </w:r>
      <w:r>
        <w:rPr>
          <w:rFonts w:hint="eastAsia" w:ascii="宋体" w:hAnsi="宋体"/>
          <w:b/>
          <w:sz w:val="21"/>
          <w:szCs w:val="21"/>
          <w:lang w:val="en-US" w:eastAsia="zh-CN"/>
        </w:rPr>
        <w:t>18</w:t>
      </w:r>
      <w:r>
        <w:rPr>
          <w:rFonts w:hint="eastAsia" w:ascii="宋体" w:hAnsi="宋体"/>
          <w:b/>
          <w:sz w:val="21"/>
          <w:szCs w:val="21"/>
        </w:rPr>
        <w:t>日至</w:t>
      </w:r>
      <w:r>
        <w:rPr>
          <w:rFonts w:hint="eastAsia" w:ascii="宋体" w:hAnsi="宋体"/>
          <w:b/>
          <w:sz w:val="21"/>
          <w:szCs w:val="21"/>
          <w:lang w:val="en-US" w:eastAsia="zh-CN"/>
        </w:rPr>
        <w:t>2021</w:t>
      </w:r>
      <w:r>
        <w:rPr>
          <w:rFonts w:hint="eastAsia" w:ascii="宋体" w:hAnsi="宋体"/>
          <w:b/>
          <w:sz w:val="21"/>
          <w:szCs w:val="21"/>
        </w:rPr>
        <w:t>年</w:t>
      </w:r>
      <w:r>
        <w:rPr>
          <w:rFonts w:hint="eastAsia" w:ascii="宋体" w:hAnsi="宋体"/>
          <w:b/>
          <w:sz w:val="21"/>
          <w:szCs w:val="21"/>
          <w:lang w:val="en-US" w:eastAsia="zh-CN"/>
        </w:rPr>
        <w:t>7</w:t>
      </w:r>
      <w:r>
        <w:rPr>
          <w:rFonts w:hint="eastAsia" w:ascii="宋体" w:hAnsi="宋体"/>
          <w:b/>
          <w:sz w:val="21"/>
          <w:szCs w:val="21"/>
        </w:rPr>
        <w:t>月</w:t>
      </w:r>
      <w:r>
        <w:rPr>
          <w:rFonts w:hint="eastAsia" w:ascii="宋体" w:hAnsi="宋体"/>
          <w:b/>
          <w:sz w:val="21"/>
          <w:szCs w:val="21"/>
          <w:lang w:val="en-US" w:eastAsia="zh-CN"/>
        </w:rPr>
        <w:t>11</w:t>
      </w:r>
      <w:r>
        <w:rPr>
          <w:rFonts w:hint="eastAsia" w:ascii="宋体" w:hAnsi="宋体"/>
          <w:b/>
          <w:sz w:val="21"/>
          <w:szCs w:val="21"/>
        </w:rPr>
        <w:t>日</w:t>
      </w:r>
    </w:p>
    <w:p>
      <w:pPr>
        <w:spacing w:line="360" w:lineRule="auto"/>
        <w:rPr>
          <w:rFonts w:ascii="宋体" w:hAnsi="宋体"/>
          <w:b/>
          <w:sz w:val="21"/>
          <w:szCs w:val="21"/>
        </w:rPr>
      </w:pPr>
      <w:r>
        <w:rPr>
          <w:rFonts w:ascii="宋体" w:hAnsi="宋体"/>
          <w:b/>
          <w:sz w:val="21"/>
          <w:szCs w:val="21"/>
        </w:rPr>
        <w:t xml:space="preserve">5. </w:t>
      </w:r>
      <w:r>
        <w:rPr>
          <w:rFonts w:hint="eastAsia" w:ascii="宋体" w:hAnsi="宋体"/>
          <w:b/>
          <w:sz w:val="21"/>
          <w:szCs w:val="21"/>
        </w:rPr>
        <w:t>完成情况说明</w:t>
      </w:r>
      <w:r>
        <w:rPr>
          <w:rFonts w:ascii="宋体" w:hAnsi="宋体"/>
          <w:b/>
          <w:sz w:val="21"/>
          <w:szCs w:val="21"/>
        </w:rPr>
        <w:t>:</w:t>
      </w:r>
    </w:p>
    <w:p>
      <w:pPr>
        <w:spacing w:line="360" w:lineRule="auto"/>
        <w:ind w:left="-211" w:leftChars="-88" w:firstLine="470" w:firstLineChars="223"/>
        <w:rPr>
          <w:rFonts w:ascii="宋体" w:hAnsi="宋体"/>
          <w:b/>
          <w:sz w:val="21"/>
          <w:szCs w:val="21"/>
        </w:rPr>
      </w:pPr>
      <w:r>
        <w:rPr>
          <w:rFonts w:hint="eastAsia" w:ascii="宋体" w:hAnsi="宋体"/>
          <w:b/>
          <w:sz w:val="21"/>
          <w:szCs w:val="21"/>
          <w:lang w:eastAsia="zh-CN"/>
        </w:rPr>
        <w:t>☑</w:t>
      </w:r>
      <w:r>
        <w:rPr>
          <w:rFonts w:hint="eastAsia" w:ascii="宋体" w:hAnsi="宋体"/>
          <w:b/>
          <w:sz w:val="21"/>
          <w:szCs w:val="21"/>
        </w:rPr>
        <w:t>已完成审核计划的全部工作</w:t>
      </w:r>
    </w:p>
    <w:p>
      <w:pPr>
        <w:spacing w:line="360" w:lineRule="auto"/>
        <w:ind w:left="-211" w:leftChars="-88" w:firstLine="470" w:firstLineChars="223"/>
        <w:rPr>
          <w:rFonts w:ascii="宋体" w:hAnsi="宋体"/>
          <w:b/>
          <w:sz w:val="21"/>
          <w:szCs w:val="21"/>
        </w:rPr>
      </w:pPr>
      <w:r>
        <w:rPr>
          <w:rFonts w:hint="eastAsia" w:ascii="宋体" w:hAnsi="宋体"/>
          <w:b/>
          <w:sz w:val="21"/>
          <w:szCs w:val="21"/>
        </w:rPr>
        <w:t>□计划有修改，但不会影响审核结论，修改的内容和原因是</w:t>
      </w:r>
    </w:p>
    <w:p>
      <w:pPr>
        <w:spacing w:line="360" w:lineRule="auto"/>
        <w:ind w:left="-211" w:leftChars="-88" w:firstLine="470" w:firstLineChars="223"/>
        <w:rPr>
          <w:rFonts w:ascii="宋体" w:hAnsi="宋体"/>
          <w:b/>
          <w:sz w:val="21"/>
          <w:szCs w:val="21"/>
        </w:rPr>
      </w:pPr>
      <w:r>
        <w:rPr>
          <w:rFonts w:hint="eastAsia" w:ascii="宋体" w:hAnsi="宋体"/>
          <w:b/>
          <w:sz w:val="21"/>
          <w:szCs w:val="21"/>
        </w:rPr>
        <w:t>□未完成计划，未完成的内容和原因是</w:t>
      </w:r>
      <w:r>
        <w:rPr>
          <w:rFonts w:ascii="宋体" w:hAnsi="宋体"/>
          <w:b/>
          <w:sz w:val="21"/>
          <w:szCs w:val="21"/>
        </w:rPr>
        <w:t>:</w:t>
      </w:r>
    </w:p>
    <w:p>
      <w:pPr>
        <w:tabs>
          <w:tab w:val="left" w:pos="645"/>
        </w:tabs>
        <w:spacing w:before="326" w:beforeLines="100" w:after="163" w:afterLines="50" w:line="360" w:lineRule="exact"/>
        <w:rPr>
          <w:b/>
          <w:sz w:val="26"/>
          <w:szCs w:val="26"/>
        </w:rPr>
      </w:pPr>
      <w:r>
        <w:rPr>
          <w:rFonts w:hint="eastAsia"/>
          <w:b/>
          <w:sz w:val="26"/>
          <w:szCs w:val="26"/>
        </w:rPr>
        <w:t>六、审核证据及审核发现综述、</w:t>
      </w:r>
    </w:p>
    <w:tbl>
      <w:tblPr>
        <w:tblStyle w:val="6"/>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restart"/>
            <w:textDirection w:val="tbRlV"/>
            <w:vAlign w:val="center"/>
          </w:tcPr>
          <w:p>
            <w:pPr>
              <w:spacing w:line="240" w:lineRule="exact"/>
              <w:ind w:left="241" w:right="113" w:hanging="241" w:hangingChars="100"/>
              <w:jc w:val="center"/>
              <w:rPr>
                <w:rFonts w:ascii="宋体"/>
                <w:b/>
                <w:szCs w:val="21"/>
              </w:rPr>
            </w:pPr>
            <w:r>
              <w:rPr>
                <w:rFonts w:ascii="宋体" w:hAnsi="宋体"/>
                <w:b/>
                <w:szCs w:val="21"/>
              </w:rPr>
              <w:t>(</w:t>
            </w:r>
            <w:r>
              <w:rPr>
                <w:rFonts w:hint="eastAsia" w:ascii="宋体" w:hAnsi="宋体"/>
                <w:b/>
                <w:szCs w:val="21"/>
              </w:rPr>
              <w:t>一</w:t>
            </w:r>
            <w:r>
              <w:rPr>
                <w:rFonts w:ascii="宋体" w:hAnsi="宋体"/>
                <w:b/>
                <w:szCs w:val="21"/>
              </w:rPr>
              <w:t>)</w:t>
            </w:r>
            <w:r>
              <w:rPr>
                <w:rFonts w:hint="eastAsia" w:ascii="宋体" w:hAnsi="宋体"/>
                <w:b/>
                <w:szCs w:val="21"/>
              </w:rPr>
              <w:t>策划的充分与合理性</w:t>
            </w:r>
          </w:p>
        </w:tc>
        <w:tc>
          <w:tcPr>
            <w:tcW w:w="9198" w:type="dxa"/>
          </w:tcPr>
          <w:p>
            <w:pPr>
              <w:spacing w:line="240" w:lineRule="exact"/>
            </w:pPr>
            <w:r>
              <w:t>1、</w:t>
            </w:r>
            <w:r>
              <w:rPr>
                <w:rFonts w:hint="eastAsia"/>
              </w:rPr>
              <w:t>组织及其环境的识别情况</w:t>
            </w:r>
          </w:p>
          <w:p>
            <w:pPr>
              <w:pStyle w:val="2"/>
              <w:rPr>
                <w:rFonts w:asciiTheme="minorEastAsia" w:hAnsiTheme="minorEastAsia" w:eastAsiaTheme="minorEastAsia" w:cstheme="minorEastAsia"/>
                <w:bCs w:val="0"/>
                <w:szCs w:val="21"/>
              </w:rPr>
            </w:pPr>
            <w:r>
              <w:rPr>
                <w:rFonts w:hint="eastAsia"/>
              </w:rPr>
              <w:t>策划基本体现了P</w:t>
            </w:r>
            <w:r>
              <w:rPr>
                <w:rFonts w:hint="eastAsia"/>
                <w:lang w:val="en-US" w:eastAsia="zh-CN"/>
              </w:rPr>
              <w:t>DC</w:t>
            </w:r>
            <w:r>
              <w:rPr>
                <w:rFonts w:hint="eastAsia"/>
              </w:rPr>
              <w:t>A的思路。建立了文件化的管理体系，文件基本符合标准的要求，基本符合企业的实际情况。根据过程对组织结构进行了合理的设计，明确了各岗位人员的职责和接口，配备了相应的人员、设施、技术、信息等资源。工作环境基本能满足生产和管理的需求。</w:t>
            </w:r>
            <w:r>
              <w:rPr>
                <w:rFonts w:hint="eastAsia"/>
                <w:lang w:val="en-GB"/>
              </w:rPr>
              <w:t>通过制定管理制度、作业文件及相关措施，对活动的主要环节实施了有效的控制。</w:t>
            </w:r>
            <w:r>
              <w:rPr>
                <w:rFonts w:hint="eastAsia"/>
              </w:rPr>
              <w:t>各种制度及规定基本建立。管理手册中对组织机构和职责进行</w:t>
            </w:r>
            <w:r>
              <w:rPr>
                <w:rFonts w:hint="eastAsia"/>
                <w:color w:val="auto"/>
              </w:rPr>
              <w:t>了策划，形成了文件。组织机构的设置，职责、权限的分配基本明确，基本适宜，人力资源基本满足需求。</w:t>
            </w:r>
            <w:r>
              <w:rPr>
                <w:rFonts w:hint="eastAsia"/>
                <w:color w:val="auto"/>
                <w:lang w:eastAsia="zh-CN"/>
              </w:rPr>
              <w:t>策划管理体系时，公司</w:t>
            </w:r>
            <w:r>
              <w:rPr>
                <w:rFonts w:hint="eastAsia"/>
                <w:color w:val="auto"/>
              </w:rPr>
              <w:t>确定</w:t>
            </w:r>
            <w:r>
              <w:rPr>
                <w:rFonts w:hint="eastAsia"/>
                <w:color w:val="auto"/>
                <w:lang w:eastAsia="zh-CN"/>
              </w:rPr>
              <w:t>了</w:t>
            </w:r>
            <w:r>
              <w:rPr>
                <w:rFonts w:hint="eastAsia"/>
                <w:color w:val="auto"/>
              </w:rPr>
              <w:t>与其宗旨和战略方向相关并影响其实现质量管理体系预期结果的能力的各种外部和内部因素。</w:t>
            </w:r>
            <w:r>
              <w:rPr>
                <w:rFonts w:hint="eastAsia"/>
                <w:color w:val="auto"/>
                <w:lang w:eastAsia="zh-CN"/>
              </w:rPr>
              <w:t>同时，</w:t>
            </w:r>
            <w:r>
              <w:rPr>
                <w:rFonts w:hint="eastAsia"/>
                <w:color w:val="auto"/>
              </w:rPr>
              <w:t>确定</w:t>
            </w:r>
            <w:r>
              <w:rPr>
                <w:rFonts w:hint="eastAsia"/>
                <w:color w:val="auto"/>
                <w:lang w:eastAsia="zh-CN"/>
              </w:rPr>
              <w:t>了</w:t>
            </w:r>
            <w:r>
              <w:rPr>
                <w:rFonts w:hint="eastAsia"/>
                <w:color w:val="auto"/>
              </w:rPr>
              <w:t>与质量管理体系有关的相关方</w:t>
            </w:r>
            <w:r>
              <w:rPr>
                <w:rFonts w:hint="eastAsia"/>
                <w:color w:val="auto"/>
                <w:lang w:eastAsia="zh-CN"/>
              </w:rPr>
              <w:t>及相关要求。并根据所确定的各种因素及相关方和其要求，确定了公司应对的风险和机遇，并对应对措施进行了策划</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认证范围：</w:t>
            </w:r>
          </w:p>
          <w:p>
            <w:pPr>
              <w:rPr>
                <w:rFonts w:hint="eastAsia"/>
                <w:color w:val="000000"/>
                <w:szCs w:val="21"/>
              </w:rPr>
            </w:pPr>
            <w:r>
              <w:rPr>
                <w:rFonts w:hint="eastAsia" w:ascii="宋体" w:hAnsi="宋体"/>
                <w:szCs w:val="21"/>
              </w:rPr>
              <w:t>Q：应用软件开发（医疗器械软件除外）；电子产品的销售</w:t>
            </w:r>
          </w:p>
          <w:p>
            <w:pPr>
              <w:rPr>
                <w:rFonts w:hint="eastAsia" w:ascii="宋体" w:hAnsi="宋体"/>
                <w:szCs w:val="21"/>
              </w:rPr>
            </w:pPr>
            <w:r>
              <w:rPr>
                <w:rFonts w:hint="eastAsia" w:ascii="宋体" w:hAnsi="宋体"/>
                <w:szCs w:val="21"/>
              </w:rPr>
              <w:t>E：应用软件开发（医疗器械软件除外）；电子产品的销售及相关环境管理活动</w:t>
            </w:r>
          </w:p>
          <w:p>
            <w:pPr>
              <w:numPr>
                <w:ilvl w:val="0"/>
                <w:numId w:val="0"/>
              </w:numPr>
              <w:rPr>
                <w:rFonts w:hint="eastAsia" w:asciiTheme="minorEastAsia" w:hAnsiTheme="minorEastAsia" w:eastAsiaTheme="minorEastAsia" w:cstheme="minorEastAsia"/>
                <w:szCs w:val="21"/>
              </w:rPr>
            </w:pPr>
            <w:r>
              <w:rPr>
                <w:rFonts w:hint="eastAsia" w:ascii="宋体" w:hAnsi="宋体"/>
                <w:szCs w:val="21"/>
              </w:rPr>
              <w:t xml:space="preserve">O：应用软件开发（医疗器械软件除外）；电子产品的销售及相关职业健康安全管理活动  </w:t>
            </w:r>
          </w:p>
          <w:p>
            <w:pPr>
              <w:rPr>
                <w:rFonts w:hint="eastAsia" w:ascii="宋体" w:hAnsi="宋体" w:eastAsia="宋体"/>
                <w:b/>
                <w:bCs/>
                <w:color w:val="auto"/>
                <w:lang w:val="en-US" w:eastAsia="zh-CN"/>
              </w:rPr>
            </w:pPr>
            <w:r>
              <w:rPr>
                <w:rFonts w:hint="eastAsia" w:asciiTheme="minorEastAsia" w:hAnsiTheme="minorEastAsia" w:eastAsiaTheme="minorEastAsia" w:cstheme="minorEastAsia"/>
                <w:color w:val="auto"/>
                <w:szCs w:val="21"/>
              </w:rPr>
              <w:t>认证范围在经营范围内。</w:t>
            </w:r>
            <w:r>
              <w:rPr>
                <w:rFonts w:hint="eastAsia" w:ascii="宋体" w:hAnsi="宋体"/>
                <w:b/>
                <w:bCs/>
                <w:color w:val="auto"/>
              </w:rPr>
              <w:t>不适用条款:</w:t>
            </w:r>
            <w:r>
              <w:rPr>
                <w:rFonts w:hint="eastAsia" w:ascii="宋体" w:hAnsi="宋体"/>
                <w:b/>
                <w:bCs/>
                <w:color w:val="auto"/>
                <w:lang w:val="en-US" w:eastAsia="zh-CN"/>
              </w:rPr>
              <w:t>无</w:t>
            </w:r>
          </w:p>
          <w:p>
            <w:pPr>
              <w:rPr>
                <w:rFonts w:ascii="宋体"/>
                <w:szCs w:val="21"/>
              </w:rPr>
            </w:pPr>
            <w:r>
              <w:rPr>
                <w:rFonts w:hint="eastAsia" w:asciiTheme="minorEastAsia" w:hAnsiTheme="minorEastAsia" w:eastAsiaTheme="minorEastAsia" w:cstheme="minorEastAsia"/>
                <w:szCs w:val="21"/>
              </w:rPr>
              <w:t>查国家企业信用信息公示系统，企业无异常经营记录、无违法失信记录。</w:t>
            </w:r>
          </w:p>
          <w:p>
            <w:pPr>
              <w:spacing w:line="240" w:lineRule="exact"/>
              <w:rPr>
                <w:rFonts w:ascii="宋体" w:hAnsi="宋体"/>
                <w:b/>
                <w:sz w:val="21"/>
                <w:szCs w:val="21"/>
              </w:rPr>
            </w:pPr>
            <w:r>
              <w:rPr>
                <w:rFonts w:hint="eastAsia" w:asciiTheme="minorEastAsia" w:hAnsiTheme="minorEastAsia" w:eastAsiaTheme="minorEastAsia" w:cstheme="minorEastAsia"/>
                <w:bCs w:val="0"/>
                <w:szCs w:val="21"/>
              </w:rPr>
              <w:t>对于企业的外包过程也进行了充分识别，公司无外包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vAlign w:val="top"/>
          </w:tcPr>
          <w:p>
            <w:pPr>
              <w:numPr>
                <w:ilvl w:val="0"/>
                <w:numId w:val="1"/>
              </w:numPr>
              <w:spacing w:line="240" w:lineRule="exact"/>
            </w:pPr>
            <w:r>
              <w:rPr>
                <w:rFonts w:hint="eastAsia"/>
              </w:rPr>
              <w:t>相关方需求和期望识别情况</w:t>
            </w:r>
          </w:p>
          <w:p>
            <w:r>
              <w:rPr>
                <w:rFonts w:hint="eastAsia"/>
              </w:rPr>
              <w:t>在公司运营过程中充分考虑相关方方面的期望或要求，识别的相关方有：顾客、最终用户或受益人、业主，股东、员工等。项目部门和相关职能部门通过日常例会、市场活动、现场拜访、产品展销会、客户调查等多种渠道和方式方法随时了解相关方的需求和期望。做为公司经营风险分析和发展机遇的可利用资源。</w:t>
            </w:r>
          </w:p>
          <w:p>
            <w:pPr>
              <w:rPr>
                <w:rFonts w:ascii="宋体" w:hAnsi="宋体"/>
                <w:b/>
                <w:sz w:val="21"/>
                <w:szCs w:val="21"/>
              </w:rPr>
            </w:pPr>
            <w:r>
              <w:rPr>
                <w:rFonts w:hint="eastAsia"/>
              </w:rPr>
              <w:t>内外部环境要素识别与评估：在每年的管理评审前，由相关部门负责人进行识别并评估其适宜性。以便于持续满足相关方的需求和期望。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vAlign w:val="top"/>
          </w:tcPr>
          <w:p>
            <w:pPr>
              <w:spacing w:line="280" w:lineRule="exact"/>
              <w:rPr>
                <w:rFonts w:ascii="宋体" w:hAnsi="宋体"/>
                <w:b/>
                <w:color w:val="000000" w:themeColor="text1"/>
                <w:sz w:val="20"/>
                <w:szCs w:val="20"/>
              </w:rPr>
            </w:pPr>
            <w:r>
              <w:rPr>
                <w:b/>
                <w:color w:val="000000" w:themeColor="text1"/>
                <w:sz w:val="20"/>
                <w:szCs w:val="20"/>
              </w:rPr>
              <w:t>3.</w:t>
            </w:r>
            <w:r>
              <w:rPr>
                <w:rFonts w:hint="eastAsia" w:ascii="宋体" w:hAnsi="宋体" w:cs="宋体"/>
                <w:b/>
                <w:color w:val="000000" w:themeColor="text1"/>
                <w:spacing w:val="-10"/>
                <w:sz w:val="20"/>
                <w:szCs w:val="20"/>
              </w:rPr>
              <w:t>█</w:t>
            </w:r>
            <w:r>
              <w:rPr>
                <w:rFonts w:hint="eastAsia" w:ascii="宋体" w:hAnsi="宋体"/>
                <w:b/>
                <w:color w:val="000000" w:themeColor="text1"/>
                <w:sz w:val="20"/>
                <w:szCs w:val="20"/>
              </w:rPr>
              <w:t>质量/</w:t>
            </w:r>
            <w:r>
              <w:rPr>
                <w:rFonts w:hint="eastAsia" w:ascii="宋体" w:hAnsi="宋体" w:cs="宋体"/>
                <w:b/>
                <w:color w:val="000000" w:themeColor="text1"/>
                <w:spacing w:val="-10"/>
                <w:sz w:val="20"/>
                <w:szCs w:val="20"/>
              </w:rPr>
              <w:t>█</w:t>
            </w:r>
            <w:r>
              <w:rPr>
                <w:rFonts w:hint="eastAsia" w:ascii="宋体" w:hAnsi="宋体"/>
                <w:b/>
                <w:color w:val="000000" w:themeColor="text1"/>
                <w:sz w:val="20"/>
                <w:szCs w:val="20"/>
              </w:rPr>
              <w:t>环境/</w:t>
            </w:r>
            <w:r>
              <w:rPr>
                <w:rFonts w:hint="eastAsia" w:ascii="宋体" w:hAnsi="宋体" w:cs="宋体"/>
                <w:b/>
                <w:color w:val="000000" w:themeColor="text1"/>
                <w:spacing w:val="-10"/>
                <w:sz w:val="20"/>
                <w:szCs w:val="20"/>
              </w:rPr>
              <w:t>█</w:t>
            </w:r>
            <w:r>
              <w:rPr>
                <w:rFonts w:hint="eastAsia" w:ascii="宋体" w:hAnsi="宋体"/>
                <w:b/>
                <w:color w:val="000000" w:themeColor="text1"/>
                <w:sz w:val="20"/>
                <w:szCs w:val="20"/>
              </w:rPr>
              <w:t>职业健康安全方针（组织</w:t>
            </w:r>
            <w:r>
              <w:rPr>
                <w:rFonts w:hint="eastAsia"/>
                <w:b/>
                <w:color w:val="000000" w:themeColor="text1"/>
                <w:sz w:val="20"/>
                <w:szCs w:val="20"/>
              </w:rPr>
              <w:t>方针</w:t>
            </w:r>
            <w:r>
              <w:rPr>
                <w:rFonts w:hint="eastAsia" w:ascii="宋体" w:hAnsi="宋体"/>
                <w:b/>
                <w:color w:val="000000" w:themeColor="text1"/>
                <w:sz w:val="20"/>
                <w:szCs w:val="20"/>
              </w:rPr>
              <w:t>的适宜性/持续适宜性、方针的传达及职工的理解等）</w:t>
            </w:r>
          </w:p>
          <w:p>
            <w:pPr>
              <w:spacing w:line="480" w:lineRule="exact"/>
              <w:rPr>
                <w:rFonts w:ascii="楷体" w:hAnsi="楷体" w:eastAsia="楷体"/>
                <w:sz w:val="24"/>
              </w:rPr>
            </w:pPr>
            <w:r>
              <w:rPr>
                <w:rFonts w:hint="eastAsia" w:ascii="楷体" w:hAnsi="楷体" w:eastAsia="楷体"/>
                <w:sz w:val="24"/>
              </w:rPr>
              <w:t>公司的管理方针是：</w:t>
            </w:r>
          </w:p>
          <w:p>
            <w:pPr>
              <w:ind w:firstLine="1200" w:firstLineChars="500"/>
              <w:rPr>
                <w:rFonts w:hint="eastAsia"/>
                <w:lang w:eastAsia="zh-CN"/>
              </w:rPr>
            </w:pPr>
            <w:r>
              <w:rPr>
                <w:rFonts w:hint="eastAsia"/>
                <w:lang w:eastAsia="zh-CN"/>
              </w:rPr>
              <w:t>守法诚信追求质量，预防污染保护环境；</w:t>
            </w:r>
          </w:p>
          <w:p>
            <w:pPr>
              <w:rPr>
                <w:rFonts w:hint="eastAsia"/>
                <w:lang w:eastAsia="zh-CN"/>
              </w:rPr>
            </w:pPr>
            <w:r>
              <w:rPr>
                <w:rFonts w:hint="eastAsia"/>
                <w:lang w:eastAsia="zh-CN"/>
              </w:rPr>
              <w:t xml:space="preserve">         关爱员工健康安全，持续改进追求卓越</w:t>
            </w:r>
          </w:p>
          <w:p>
            <w:pPr>
              <w:pStyle w:val="2"/>
            </w:pPr>
            <w:r>
              <w:rPr>
                <w:rFonts w:hint="eastAsia"/>
                <w:color w:val="000000"/>
              </w:rPr>
              <w:t>通过管理手册的分发使全体员工理解方针，通过内审和管理评审保持方针的适宜性。</w:t>
            </w:r>
          </w:p>
          <w:p>
            <w:pPr>
              <w:spacing w:line="240" w:lineRule="exact"/>
              <w:ind w:left="228" w:leftChars="95"/>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vAlign w:val="top"/>
          </w:tcPr>
          <w:p>
            <w:pPr>
              <w:numPr>
                <w:ilvl w:val="0"/>
                <w:numId w:val="1"/>
              </w:numPr>
              <w:spacing w:line="240" w:lineRule="exact"/>
            </w:pPr>
            <w:r>
              <w:rPr>
                <w:rFonts w:hint="eastAsia"/>
              </w:rPr>
              <w:t>风险识别与控制策划</w:t>
            </w:r>
          </w:p>
          <w:p>
            <w:r>
              <w:rPr>
                <w:rFonts w:hint="eastAsia"/>
              </w:rPr>
              <w:t>制定了《风险和机遇的应对控制程序》，明确风险和机遇事件的识别方法/途径、风险和机遇事件的评估方式、制定主要风险和机遇事件的应对措施的要求、评价这些措施有效性的方法。</w:t>
            </w:r>
          </w:p>
          <w:p>
            <w:pPr>
              <w:spacing w:line="240" w:lineRule="exact"/>
            </w:pPr>
            <w:r>
              <w:rPr>
                <w:rFonts w:hint="eastAsia"/>
              </w:rPr>
              <w:t>提供了“20</w:t>
            </w:r>
            <w:r>
              <w:rPr>
                <w:rFonts w:hint="eastAsia"/>
                <w:lang w:val="en-US" w:eastAsia="zh-CN"/>
              </w:rPr>
              <w:t>20</w:t>
            </w:r>
            <w:r>
              <w:rPr>
                <w:rFonts w:hint="eastAsia"/>
              </w:rPr>
              <w:t>年度 SWOT经营环境分析及对策报告”，对影响公司经营和发展的各种因素（内外部环境、相关方要求等）进行分析，确定需要应对的风险和机遇</w:t>
            </w:r>
          </w:p>
          <w:p>
            <w:pPr>
              <w:pStyle w:val="2"/>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jc w:val="center"/>
        </w:trPr>
        <w:tc>
          <w:tcPr>
            <w:tcW w:w="720" w:type="dxa"/>
            <w:vMerge w:val="continue"/>
            <w:vAlign w:val="center"/>
          </w:tcPr>
          <w:p>
            <w:pPr>
              <w:spacing w:line="240" w:lineRule="exact"/>
              <w:jc w:val="center"/>
              <w:rPr>
                <w:b/>
                <w:sz w:val="20"/>
              </w:rPr>
            </w:pPr>
          </w:p>
        </w:tc>
        <w:tc>
          <w:tcPr>
            <w:tcW w:w="9198" w:type="dxa"/>
            <w:vAlign w:val="top"/>
          </w:tcPr>
          <w:p>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hint="eastAsia" w:ascii="宋体" w:hAnsi="宋体"/>
                <w:b/>
                <w:color w:val="000000" w:themeColor="text1"/>
                <w:sz w:val="20"/>
                <w:szCs w:val="20"/>
              </w:rPr>
              <w:t>过程</w:t>
            </w:r>
          </w:p>
          <w:p>
            <w:pPr>
              <w:tabs>
                <w:tab w:val="left" w:pos="540"/>
              </w:tabs>
              <w:spacing w:line="300" w:lineRule="exact"/>
              <w:ind w:left="201" w:hanging="201" w:hangingChars="100"/>
              <w:rPr>
                <w:rFonts w:ascii="宋体" w:hAnsi="宋体"/>
                <w:b/>
                <w:color w:val="000000" w:themeColor="text1"/>
                <w:sz w:val="20"/>
                <w:szCs w:val="20"/>
              </w:rPr>
            </w:pPr>
            <w:r>
              <w:rPr>
                <w:rFonts w:hint="eastAsia" w:ascii="宋体" w:hAnsi="宋体"/>
                <w:b/>
                <w:color w:val="000000" w:themeColor="text1"/>
                <w:sz w:val="20"/>
                <w:szCs w:val="20"/>
              </w:rPr>
              <w:t>质量管理体系过程有：</w:t>
            </w:r>
          </w:p>
          <w:p>
            <w:pPr>
              <w:rPr>
                <w:rFonts w:hint="eastAsia"/>
                <w:lang w:eastAsia="zh-CN"/>
              </w:rPr>
            </w:pPr>
            <w:r>
              <w:rPr>
                <w:rFonts w:hint="eastAsia"/>
                <w:lang w:eastAsia="zh-CN"/>
              </w:rPr>
              <w:t>应用软件开发（医疗器械软件除外）；顾客沟通—合同评审—签订合同--立项--需求分析--概要设计--详细设计—客户确认--测试—交付使用</w:t>
            </w:r>
          </w:p>
          <w:p>
            <w:pPr>
              <w:rPr>
                <w:rFonts w:hint="eastAsia"/>
                <w:lang w:eastAsia="zh-CN"/>
              </w:rPr>
            </w:pPr>
            <w:r>
              <w:rPr>
                <w:rFonts w:hint="eastAsia"/>
                <w:lang w:eastAsia="zh-CN"/>
              </w:rPr>
              <w:t>电子产品销售：客户接触----合同评审----签订合同-----客户付款------入帐------采购-----客户提货-----验收</w:t>
            </w:r>
          </w:p>
          <w:p>
            <w:pPr>
              <w:rPr>
                <w:rFonts w:hint="default"/>
                <w:lang w:val="en-US" w:eastAsia="zh-CN"/>
              </w:rPr>
            </w:pPr>
            <w:r>
              <w:rPr>
                <w:rFonts w:hint="eastAsia" w:ascii="宋体" w:hAnsi="宋体"/>
                <w:bCs w:val="0"/>
                <w:spacing w:val="0"/>
                <w:sz w:val="24"/>
              </w:rPr>
              <w:t>其中特殊过程为：</w:t>
            </w:r>
            <w:r>
              <w:rPr>
                <w:rFonts w:hint="eastAsia"/>
                <w:lang w:eastAsia="zh-CN"/>
              </w:rPr>
              <w:t>软件开发</w:t>
            </w:r>
            <w:r>
              <w:rPr>
                <w:rFonts w:hint="eastAsia"/>
                <w:lang w:val="en-US" w:eastAsia="zh-CN"/>
              </w:rPr>
              <w:t>过程、</w:t>
            </w:r>
            <w:r>
              <w:rPr>
                <w:rFonts w:hint="eastAsia" w:ascii="宋体" w:hAnsi="宋体"/>
                <w:b/>
                <w:color w:val="000000"/>
                <w:sz w:val="20"/>
                <w:szCs w:val="20"/>
                <w:lang w:val="en-US" w:eastAsia="zh-CN"/>
              </w:rPr>
              <w:t>销售</w:t>
            </w:r>
            <w:r>
              <w:rPr>
                <w:rFonts w:hint="eastAsia" w:cs="Times New Roman"/>
                <w:bCs/>
                <w:spacing w:val="10"/>
                <w:kern w:val="2"/>
                <w:sz w:val="21"/>
                <w:szCs w:val="22"/>
                <w:lang w:val="en-US" w:eastAsia="zh-CN" w:bidi="ar-SA"/>
              </w:rPr>
              <w:t>过程</w:t>
            </w:r>
          </w:p>
          <w:p>
            <w:pPr>
              <w:rPr>
                <w:rFonts w:hint="eastAsia" w:ascii="Times New Roman" w:hAnsi="Times New Roman" w:eastAsia="宋体" w:cs="Times New Roman"/>
                <w:bCs w:val="0"/>
                <w:color w:val="000000" w:themeColor="text1"/>
                <w:spacing w:val="0"/>
                <w:kern w:val="2"/>
                <w:sz w:val="21"/>
                <w:szCs w:val="21"/>
                <w:lang w:val="en-US" w:eastAsia="zh-CN" w:bidi="ar-SA"/>
              </w:rPr>
            </w:pPr>
            <w:r>
              <w:rPr>
                <w:rFonts w:hint="eastAsia" w:ascii="宋体" w:hAnsi="宋体"/>
                <w:b/>
                <w:color w:val="000000" w:themeColor="text1"/>
                <w:sz w:val="20"/>
                <w:szCs w:val="20"/>
              </w:rPr>
              <w:t>其中关键过程有</w:t>
            </w:r>
            <w:r>
              <w:rPr>
                <w:rFonts w:hint="eastAsia" w:ascii="宋体" w:hAnsi="宋体"/>
                <w:b/>
                <w:color w:val="000000" w:themeColor="text1"/>
                <w:sz w:val="20"/>
                <w:szCs w:val="20"/>
                <w:u w:val="single"/>
              </w:rPr>
              <w:t xml:space="preserve"> </w:t>
            </w:r>
            <w:r>
              <w:rPr>
                <w:rFonts w:hint="eastAsia"/>
                <w:lang w:eastAsia="zh-CN"/>
              </w:rPr>
              <w:t>软件开发</w:t>
            </w:r>
            <w:r>
              <w:rPr>
                <w:rFonts w:hint="eastAsia"/>
                <w:lang w:val="en-US" w:eastAsia="zh-CN"/>
              </w:rPr>
              <w:t>过程、</w:t>
            </w:r>
            <w:r>
              <w:rPr>
                <w:rFonts w:hint="eastAsia" w:ascii="宋体" w:hAnsi="宋体"/>
                <w:b/>
                <w:color w:val="000000"/>
                <w:sz w:val="20"/>
                <w:szCs w:val="20"/>
                <w:lang w:val="en-US" w:eastAsia="zh-CN"/>
              </w:rPr>
              <w:t>销售</w:t>
            </w:r>
            <w:r>
              <w:rPr>
                <w:rFonts w:hint="eastAsia" w:cs="Times New Roman"/>
                <w:bCs/>
                <w:spacing w:val="10"/>
                <w:kern w:val="2"/>
                <w:sz w:val="21"/>
                <w:szCs w:val="22"/>
                <w:lang w:val="en-US" w:eastAsia="zh-CN" w:bidi="ar-SA"/>
              </w:rPr>
              <w:t>过程</w:t>
            </w:r>
            <w:r>
              <w:rPr>
                <w:rFonts w:hint="eastAsia" w:ascii="Times New Roman" w:hAnsi="Times New Roman" w:eastAsia="宋体" w:cs="Times New Roman"/>
                <w:bCs w:val="0"/>
                <w:color w:val="000000" w:themeColor="text1"/>
                <w:spacing w:val="0"/>
                <w:kern w:val="2"/>
                <w:sz w:val="21"/>
                <w:szCs w:val="21"/>
                <w:lang w:val="en-US" w:eastAsia="zh-CN" w:bidi="ar-SA"/>
              </w:rPr>
              <w:t xml:space="preserve"> </w:t>
            </w:r>
          </w:p>
          <w:p>
            <w:pPr>
              <w:rPr>
                <w:rFonts w:hint="eastAsia" w:eastAsia="宋体"/>
                <w:szCs w:val="22"/>
                <w:lang w:eastAsia="zh-CN"/>
              </w:rPr>
            </w:pPr>
            <w:r>
              <w:rPr>
                <w:rFonts w:hint="eastAsia" w:ascii="宋体" w:hAnsi="宋体"/>
                <w:b/>
                <w:color w:val="000000" w:themeColor="text1"/>
                <w:sz w:val="20"/>
                <w:szCs w:val="20"/>
              </w:rPr>
              <w:t xml:space="preserve">需要确认过程  </w:t>
            </w:r>
            <w:r>
              <w:rPr>
                <w:rFonts w:hint="eastAsia"/>
                <w:lang w:eastAsia="zh-CN"/>
              </w:rPr>
              <w:t>软件开发</w:t>
            </w:r>
            <w:r>
              <w:rPr>
                <w:rFonts w:hint="eastAsia"/>
                <w:lang w:val="en-US" w:eastAsia="zh-CN"/>
              </w:rPr>
              <w:t>过程、</w:t>
            </w:r>
            <w:r>
              <w:rPr>
                <w:rFonts w:hint="eastAsia" w:ascii="宋体" w:hAnsi="宋体"/>
                <w:b/>
                <w:color w:val="000000"/>
                <w:sz w:val="20"/>
                <w:szCs w:val="20"/>
                <w:lang w:val="en-US" w:eastAsia="zh-CN"/>
              </w:rPr>
              <w:t>销售</w:t>
            </w:r>
            <w:r>
              <w:rPr>
                <w:rFonts w:hint="eastAsia" w:cs="Times New Roman"/>
                <w:bCs/>
                <w:spacing w:val="10"/>
                <w:kern w:val="2"/>
                <w:sz w:val="21"/>
                <w:szCs w:val="22"/>
                <w:lang w:val="en-US" w:eastAsia="zh-CN" w:bidi="ar-SA"/>
              </w:rPr>
              <w:t>过程</w:t>
            </w:r>
          </w:p>
          <w:p>
            <w:pPr>
              <w:ind w:firstLine="402" w:firstLineChars="200"/>
              <w:rPr>
                <w:rFonts w:ascii="宋体" w:hAnsi="宋体"/>
                <w:b/>
                <w:sz w:val="21"/>
                <w:szCs w:val="21"/>
              </w:rPr>
            </w:pPr>
            <w:r>
              <w:rPr>
                <w:rFonts w:hint="eastAsia" w:ascii="宋体" w:hAnsi="宋体"/>
                <w:b/>
                <w:color w:val="000000" w:themeColor="text1"/>
                <w:sz w:val="20"/>
                <w:szCs w:val="20"/>
              </w:rPr>
              <w:t xml:space="preserve">不适用条款是   </w:t>
            </w:r>
            <w:r>
              <w:rPr>
                <w:rFonts w:hint="eastAsia" w:ascii="宋体" w:hAnsi="宋体"/>
                <w:b/>
                <w:color w:val="000000" w:themeColor="text1"/>
                <w:sz w:val="20"/>
                <w:szCs w:val="20"/>
                <w:lang w:val="en-US" w:eastAsia="zh-CN"/>
              </w:rPr>
              <w:t>无</w:t>
            </w:r>
            <w:r>
              <w:rPr>
                <w:rFonts w:hint="eastAsia" w:ascii="宋体" w:hAnsi="宋体"/>
                <w:b/>
                <w:color w:val="000000" w:themeColor="text1"/>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4" w:hRule="atLeast"/>
          <w:jc w:val="center"/>
        </w:trPr>
        <w:tc>
          <w:tcPr>
            <w:tcW w:w="720" w:type="dxa"/>
            <w:vMerge w:val="continue"/>
            <w:vAlign w:val="center"/>
          </w:tcPr>
          <w:p>
            <w:pPr>
              <w:spacing w:line="240" w:lineRule="exact"/>
              <w:jc w:val="center"/>
              <w:rPr>
                <w:b/>
                <w:sz w:val="20"/>
              </w:rPr>
            </w:pPr>
          </w:p>
        </w:tc>
        <w:tc>
          <w:tcPr>
            <w:tcW w:w="9198" w:type="dxa"/>
            <w:vAlign w:val="top"/>
          </w:tcPr>
          <w:p>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hint="eastAsia" w:ascii="宋体" w:hAnsi="宋体"/>
                <w:b/>
                <w:color w:val="000000" w:themeColor="text1"/>
                <w:spacing w:val="-12"/>
                <w:sz w:val="20"/>
                <w:szCs w:val="20"/>
              </w:rPr>
              <w:t>环境因素/</w:t>
            </w:r>
            <w:r>
              <w:rPr>
                <w:rFonts w:ascii="宋体" w:hAnsi="宋体"/>
                <w:b/>
                <w:color w:val="000000" w:themeColor="text1"/>
                <w:spacing w:val="-12"/>
                <w:sz w:val="20"/>
                <w:szCs w:val="20"/>
              </w:rPr>
              <w:t xml:space="preserve"> </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环境因素</w:t>
            </w:r>
            <w:r>
              <w:rPr>
                <w:rFonts w:hint="eastAsia" w:ascii="宋体" w:hAnsi="宋体"/>
                <w:b/>
                <w:color w:val="000000" w:themeColor="text1"/>
                <w:sz w:val="20"/>
                <w:szCs w:val="20"/>
              </w:rPr>
              <w:t>辨识是否充分、重要环境因素评价合理性，</w:t>
            </w:r>
            <w:r>
              <w:rPr>
                <w:rFonts w:hint="eastAsia" w:ascii="宋体" w:hAnsi="宋体"/>
                <w:b/>
                <w:color w:val="000000" w:themeColor="text1"/>
                <w:spacing w:val="-8"/>
                <w:sz w:val="20"/>
                <w:szCs w:val="20"/>
              </w:rPr>
              <w:t>以及环境因素动态变更的及时性等）</w:t>
            </w:r>
          </w:p>
          <w:p>
            <w:pPr>
              <w:spacing w:line="394" w:lineRule="exact"/>
              <w:ind w:firstLine="480" w:firstLineChars="200"/>
              <w:rPr>
                <w:color w:val="000000" w:themeColor="text1"/>
                <w:szCs w:val="21"/>
              </w:rPr>
            </w:pPr>
            <w:r>
              <w:rPr>
                <w:rFonts w:hint="eastAsia"/>
                <w:color w:val="000000" w:themeColor="text1"/>
                <w:szCs w:val="21"/>
              </w:rPr>
              <w:t>编制了</w:t>
            </w:r>
            <w:r>
              <w:rPr>
                <w:color w:val="000000" w:themeColor="text1"/>
                <w:szCs w:val="21"/>
              </w:rPr>
              <w:t>《环境因素的识别与评价控制程序》</w:t>
            </w:r>
            <w:r>
              <w:rPr>
                <w:rFonts w:hint="eastAsia"/>
                <w:color w:val="000000" w:themeColor="text1"/>
                <w:szCs w:val="21"/>
              </w:rPr>
              <w:t>符合标准要求.</w:t>
            </w:r>
          </w:p>
          <w:p>
            <w:pPr>
              <w:ind w:firstLine="480" w:firstLineChars="200"/>
              <w:rPr>
                <w:color w:val="000000" w:themeColor="text1"/>
              </w:rPr>
            </w:pPr>
            <w:r>
              <w:rPr>
                <w:rFonts w:hint="eastAsia"/>
                <w:color w:val="000000" w:themeColor="text1"/>
                <w:szCs w:val="21"/>
              </w:rPr>
              <w:t>提供的“环境因素识别评价表”“重要环境因素清单”， 评价考虑了三种时态现在、过去、将来、三种状态、异常、正常、紧急考虑了法律法规，并进行了评价，针对</w:t>
            </w:r>
            <w:r>
              <w:rPr>
                <w:rFonts w:hint="eastAsia" w:ascii="宋体" w:hAnsi="宋体" w:cs="宋体"/>
                <w:color w:val="000000" w:themeColor="text1"/>
                <w:kern w:val="0"/>
                <w:szCs w:val="21"/>
              </w:rPr>
              <w:t>服装机械设备及零配件的销售</w:t>
            </w:r>
            <w:r>
              <w:rPr>
                <w:rFonts w:hint="eastAsia"/>
                <w:color w:val="000000" w:themeColor="text1"/>
                <w:szCs w:val="21"/>
              </w:rPr>
              <w:t>过程，用打分法考虑了法规符合性、发生频次、影响范围等, 通过定性判断法，共识别出重大环境因素</w:t>
            </w:r>
            <w:r>
              <w:rPr>
                <w:rFonts w:hint="eastAsia"/>
                <w:color w:val="000000" w:themeColor="text1"/>
                <w:szCs w:val="21"/>
                <w:lang w:val="en-US" w:eastAsia="zh-CN"/>
              </w:rPr>
              <w:t>2</w:t>
            </w:r>
            <w:r>
              <w:rPr>
                <w:rFonts w:hint="eastAsia"/>
                <w:color w:val="000000" w:themeColor="text1"/>
                <w:szCs w:val="21"/>
              </w:rPr>
              <w:t>项：</w:t>
            </w:r>
            <w:r>
              <w:rPr>
                <w:rFonts w:hint="eastAsia"/>
                <w:color w:val="000000" w:themeColor="text1"/>
              </w:rPr>
              <w:t>固体废弃物</w:t>
            </w:r>
            <w:r>
              <w:rPr>
                <w:rFonts w:hint="eastAsia"/>
                <w:color w:val="000000" w:themeColor="text1"/>
                <w:lang w:eastAsia="zh-CN"/>
              </w:rPr>
              <w:t>、</w:t>
            </w:r>
            <w:r>
              <w:rPr>
                <w:rFonts w:hint="eastAsia"/>
                <w:color w:val="000000" w:themeColor="text1"/>
              </w:rPr>
              <w:t>.火灾</w:t>
            </w:r>
            <w:r>
              <w:rPr>
                <w:rFonts w:hint="eastAsia"/>
                <w:color w:val="000000" w:themeColor="text1"/>
                <w:szCs w:val="21"/>
              </w:rPr>
              <w:t>，评价符合程序要求及公司的实际情况。</w:t>
            </w:r>
          </w:p>
          <w:p>
            <w:pPr>
              <w:spacing w:line="300" w:lineRule="exact"/>
              <w:rPr>
                <w:rFonts w:ascii="宋体" w:hAnsi="宋体"/>
                <w:b/>
                <w:sz w:val="21"/>
                <w:szCs w:val="21"/>
              </w:rPr>
            </w:pPr>
            <w:r>
              <w:rPr>
                <w:rFonts w:hint="eastAsia"/>
                <w:color w:val="000000" w:themeColor="text1"/>
                <w:szCs w:val="21"/>
              </w:rPr>
              <w:t>根据组织经营性质，识别了各部门和场所的环境因素，并对环境因素进行了评价，评价出了重要环境因素，识别基本齐全无遗漏；评价合理。基本了解评价动态变更的及时性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4"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color w:val="000000" w:themeColor="text1"/>
              </w:rPr>
            </w:pPr>
            <w:r>
              <w:rPr>
                <w:rFonts w:hint="eastAsia"/>
                <w:color w:val="000000" w:themeColor="text1"/>
              </w:rPr>
              <w:t xml:space="preserve">7. </w:t>
            </w:r>
            <w:r>
              <w:rPr>
                <w:color w:val="000000" w:themeColor="text1"/>
              </w:rPr>
              <w:t>OHSMS</w:t>
            </w:r>
            <w:r>
              <w:rPr>
                <w:rFonts w:hint="eastAsia"/>
                <w:color w:val="000000" w:themeColor="text1"/>
              </w:rPr>
              <w:t>职业健康安全危险源</w:t>
            </w:r>
          </w:p>
          <w:p>
            <w:pPr>
              <w:spacing w:line="300" w:lineRule="exact"/>
              <w:rPr>
                <w:color w:val="000000" w:themeColor="text1"/>
              </w:rPr>
            </w:pPr>
            <w:r>
              <w:rPr>
                <w:rFonts w:hint="eastAsia"/>
                <w:color w:val="000000" w:themeColor="text1"/>
              </w:rPr>
              <w:t>（职业健康安全危险源辨识是否充分、风险评价合理性，以及风险评价动态变更的及时性等）</w:t>
            </w:r>
          </w:p>
          <w:p>
            <w:pPr>
              <w:ind w:firstLine="480" w:firstLineChars="200"/>
              <w:rPr>
                <w:color w:val="000000" w:themeColor="text1"/>
                <w:szCs w:val="21"/>
              </w:rPr>
            </w:pPr>
            <w:r>
              <w:rPr>
                <w:rFonts w:hint="eastAsia"/>
                <w:color w:val="000000" w:themeColor="text1"/>
                <w:szCs w:val="21"/>
              </w:rPr>
              <w:t>编制《危险源辨识、风险评价和控制措施确定控制程序》，对影响职业健康安全的危险源，评价其风险程度及级别，不可接受风险评价的标准和更新的时机,并确定更新不可接受风险因素从而进行有效控制等方面的管理要求进行了规定，满足要求。</w:t>
            </w:r>
          </w:p>
          <w:p>
            <w:pPr>
              <w:ind w:firstLine="480" w:firstLineChars="200"/>
              <w:rPr>
                <w:color w:val="000000" w:themeColor="text1"/>
                <w:szCs w:val="21"/>
              </w:rPr>
            </w:pPr>
            <w:r>
              <w:rPr>
                <w:rFonts w:hint="eastAsia"/>
                <w:color w:val="000000" w:themeColor="text1"/>
                <w:szCs w:val="21"/>
              </w:rPr>
              <w:t>提供的：“危险源识别与风险评价表”“不可接受风险源清单”， 评价考虑了将来、状态、可能导致的事件，并进行了评价，用打分法考虑了法规符合性、发生频次、影响范围等, 通过是非法，共识别出不可接受风险</w:t>
            </w:r>
            <w:r>
              <w:rPr>
                <w:rFonts w:hint="eastAsia"/>
                <w:color w:val="000000" w:themeColor="text1"/>
                <w:szCs w:val="21"/>
                <w:lang w:val="en-US" w:eastAsia="zh-CN"/>
              </w:rPr>
              <w:t>3</w:t>
            </w:r>
            <w:r>
              <w:rPr>
                <w:rFonts w:hint="eastAsia"/>
                <w:color w:val="000000" w:themeColor="text1"/>
                <w:szCs w:val="21"/>
              </w:rPr>
              <w:t>项，涉及：</w:t>
            </w:r>
            <w:r>
              <w:rPr>
                <w:rFonts w:hint="eastAsia"/>
                <w:color w:val="000000" w:themeColor="text1"/>
              </w:rPr>
              <w:t>潜在火灾</w:t>
            </w:r>
            <w:r>
              <w:rPr>
                <w:rFonts w:hint="eastAsia"/>
                <w:color w:val="000000" w:themeColor="text1"/>
                <w:lang w:eastAsia="zh-CN"/>
              </w:rPr>
              <w:t>、</w:t>
            </w:r>
            <w:r>
              <w:rPr>
                <w:rFonts w:hint="eastAsia"/>
                <w:color w:val="000000" w:themeColor="text1"/>
              </w:rPr>
              <w:t>触电</w:t>
            </w:r>
            <w:r>
              <w:rPr>
                <w:rFonts w:hint="eastAsia"/>
                <w:color w:val="000000" w:themeColor="text1"/>
                <w:lang w:eastAsia="zh-CN"/>
              </w:rPr>
              <w:t>、</w:t>
            </w:r>
            <w:r>
              <w:rPr>
                <w:rFonts w:hint="eastAsia"/>
                <w:color w:val="000000" w:themeColor="text1"/>
                <w:szCs w:val="21"/>
              </w:rPr>
              <w:t>意外伤害，评价符合程序要求及公司的实际情况。对危险源的控制措施包括制定管理制度、监督检查、应急预案、培训等。</w:t>
            </w:r>
          </w:p>
          <w:p>
            <w:pPr>
              <w:spacing w:line="240" w:lineRule="exact"/>
              <w:rPr>
                <w:rFonts w:ascii="宋体" w:hAnsi="宋体"/>
                <w:b/>
                <w:sz w:val="21"/>
                <w:szCs w:val="21"/>
              </w:rPr>
            </w:pPr>
            <w:r>
              <w:rPr>
                <w:rFonts w:hint="eastAsia"/>
                <w:bCs w:val="0"/>
                <w:color w:val="000000" w:themeColor="text1"/>
                <w:spacing w:val="0"/>
                <w:szCs w:val="21"/>
              </w:rPr>
              <w:t>根据组织经营性质，识别了各部门和场所的危险源，并对危险源进行了评价，评价出不可接受风险，识别基本齐全无遗漏；评价合理。基本了解评价动态变更的及时性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sz w:val="20"/>
              </w:rPr>
            </w:pPr>
          </w:p>
        </w:tc>
        <w:tc>
          <w:tcPr>
            <w:tcW w:w="9198" w:type="dxa"/>
            <w:vAlign w:val="top"/>
          </w:tcPr>
          <w:p>
            <w:pPr>
              <w:spacing w:line="300" w:lineRule="exact"/>
              <w:rPr>
                <w:b/>
                <w:color w:val="000000" w:themeColor="text1"/>
                <w:spacing w:val="-4"/>
                <w:szCs w:val="21"/>
              </w:rPr>
            </w:pPr>
            <w:r>
              <w:rPr>
                <w:rFonts w:hint="eastAsia"/>
                <w:b/>
                <w:color w:val="000000" w:themeColor="text1"/>
                <w:szCs w:val="21"/>
              </w:rPr>
              <w:t xml:space="preserve">4. </w:t>
            </w:r>
            <w:r>
              <w:rPr>
                <w:rFonts w:hint="eastAsia" w:ascii="宋体" w:hAnsi="宋体"/>
                <w:b/>
                <w:color w:val="000000" w:themeColor="text1"/>
                <w:spacing w:val="-4"/>
                <w:szCs w:val="21"/>
              </w:rPr>
              <w:t>法律法规及其他要求</w:t>
            </w:r>
          </w:p>
          <w:p>
            <w:pPr>
              <w:tabs>
                <w:tab w:val="left" w:pos="540"/>
              </w:tabs>
              <w:spacing w:line="300" w:lineRule="exact"/>
              <w:ind w:left="211" w:hanging="241" w:hangingChars="100"/>
              <w:rPr>
                <w:rFonts w:ascii="宋体" w:hAnsi="宋体"/>
                <w:b/>
                <w:color w:val="000000" w:themeColor="text1"/>
                <w:szCs w:val="21"/>
              </w:rPr>
            </w:pPr>
          </w:p>
          <w:p>
            <w:pPr>
              <w:pStyle w:val="13"/>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获取法律法规102项，■法律法规获取充分，□法律法规获取有遗漏，缺少</w:t>
            </w:r>
          </w:p>
          <w:p>
            <w:pPr>
              <w:tabs>
                <w:tab w:val="left" w:pos="540"/>
              </w:tabs>
              <w:spacing w:line="300" w:lineRule="exact"/>
              <w:ind w:left="1" w:leftChars="-43" w:hanging="104" w:hangingChars="43"/>
              <w:rPr>
                <w:rFonts w:ascii="宋体" w:hAnsi="宋体"/>
                <w:b/>
                <w:color w:val="000000" w:themeColor="text1"/>
                <w:szCs w:val="21"/>
                <w:u w:val="single"/>
              </w:rPr>
            </w:pPr>
          </w:p>
          <w:p>
            <w:pPr>
              <w:pStyle w:val="13"/>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结合公司的■产品/服务■环境因素■危险源，■确定 □未确定法律法规要求的具体条款，</w:t>
            </w:r>
          </w:p>
          <w:p>
            <w:pPr>
              <w:pStyle w:val="15"/>
              <w:numPr>
                <w:ilvl w:val="0"/>
                <w:numId w:val="2"/>
              </w:numPr>
              <w:tabs>
                <w:tab w:val="left" w:pos="540"/>
              </w:tabs>
              <w:spacing w:line="300" w:lineRule="exact"/>
              <w:ind w:firstLineChars="0"/>
              <w:rPr>
                <w:rFonts w:ascii="宋体" w:hAnsi="宋体"/>
                <w:szCs w:val="21"/>
              </w:rPr>
            </w:pPr>
            <w:r>
              <w:rPr>
                <w:rFonts w:hint="eastAsia" w:ascii="宋体" w:hAnsi="宋体"/>
                <w:b/>
                <w:color w:val="000000" w:themeColor="text1"/>
                <w:szCs w:val="21"/>
              </w:rPr>
              <w:t>法律法规的宣传方式：</w:t>
            </w:r>
            <w:r>
              <w:rPr>
                <w:rFonts w:hint="eastAsia" w:ascii="宋体" w:hAnsi="宋体"/>
                <w:szCs w:val="21"/>
              </w:rPr>
              <w:t>进行发放纸质文件、电子文件的形式</w:t>
            </w:r>
          </w:p>
          <w:p>
            <w:pPr>
              <w:pStyle w:val="15"/>
              <w:numPr>
                <w:ilvl w:val="0"/>
                <w:numId w:val="2"/>
              </w:numPr>
              <w:tabs>
                <w:tab w:val="left" w:pos="540"/>
              </w:tabs>
              <w:spacing w:line="300" w:lineRule="exact"/>
              <w:ind w:firstLineChars="0"/>
              <w:rPr>
                <w:rFonts w:ascii="宋体" w:hAnsi="宋体"/>
                <w:b/>
                <w:szCs w:val="21"/>
              </w:rPr>
            </w:pPr>
            <w:r>
              <w:rPr>
                <w:rFonts w:hint="eastAsia" w:ascii="宋体" w:hAnsi="宋体"/>
                <w:b/>
                <w:color w:val="000000" w:themeColor="text1"/>
                <w:szCs w:val="21"/>
              </w:rPr>
              <w:t>法律法规要求及时更新了</w:t>
            </w:r>
            <w:r>
              <w:rPr>
                <w:rFonts w:hint="eastAsia" w:ascii="宋体" w:hAnsi="宋体"/>
                <w:szCs w:val="21"/>
              </w:rPr>
              <w:t>每年一次</w:t>
            </w:r>
          </w:p>
          <w:p>
            <w:pPr>
              <w:tabs>
                <w:tab w:val="left" w:pos="0"/>
              </w:tabs>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sz w:val="20"/>
              </w:rPr>
            </w:pPr>
          </w:p>
        </w:tc>
        <w:tc>
          <w:tcPr>
            <w:tcW w:w="9198" w:type="dxa"/>
            <w:vAlign w:val="top"/>
          </w:tcPr>
          <w:p>
            <w:pPr>
              <w:spacing w:line="300" w:lineRule="exact"/>
              <w:rPr>
                <w:rFonts w:ascii="宋体" w:hAnsi="宋体"/>
                <w:b/>
                <w:color w:val="000000" w:themeColor="text1"/>
                <w:szCs w:val="21"/>
              </w:rPr>
            </w:pPr>
            <w:r>
              <w:rPr>
                <w:rFonts w:hint="eastAsia"/>
                <w:b/>
                <w:color w:val="000000" w:themeColor="text1"/>
                <w:szCs w:val="21"/>
              </w:rPr>
              <w:t xml:space="preserve">5. </w:t>
            </w:r>
            <w:r>
              <w:rPr>
                <w:rFonts w:hint="eastAsia" w:ascii="宋体" w:hAnsi="宋体"/>
                <w:b/>
                <w:color w:val="000000" w:themeColor="text1"/>
                <w:szCs w:val="21"/>
              </w:rPr>
              <w:t>目标、方案</w:t>
            </w:r>
          </w:p>
          <w:p>
            <w:pPr>
              <w:spacing w:line="300" w:lineRule="exact"/>
              <w:rPr>
                <w:rFonts w:ascii="宋体" w:hAnsi="宋体"/>
                <w:b/>
                <w:color w:val="000000" w:themeColor="text1"/>
                <w:sz w:val="20"/>
                <w:szCs w:val="20"/>
              </w:rPr>
            </w:pPr>
            <w:r>
              <w:rPr>
                <w:rFonts w:hint="eastAsia"/>
                <w:b/>
                <w:color w:val="000000" w:themeColor="text1"/>
                <w:sz w:val="20"/>
                <w:szCs w:val="20"/>
              </w:rPr>
              <w:t>（</w:t>
            </w:r>
            <w:r>
              <w:rPr>
                <w:rFonts w:hint="eastAsia" w:ascii="宋体" w:hAnsi="宋体"/>
                <w:b/>
                <w:color w:val="000000" w:themeColor="text1"/>
                <w:spacing w:val="-4"/>
                <w:sz w:val="20"/>
                <w:szCs w:val="20"/>
              </w:rPr>
              <w:t>在相关层次上建立</w:t>
            </w:r>
            <w:r>
              <w:rPr>
                <w:rFonts w:hint="eastAsia" w:ascii="宋体" w:hAnsi="宋体"/>
                <w:b/>
                <w:color w:val="000000" w:themeColor="text1"/>
                <w:sz w:val="20"/>
                <w:szCs w:val="20"/>
              </w:rPr>
              <w:t>可测量的目标，目标、方案的有效性，对质量目标的实现情况进行评价并叙述测量方法）</w:t>
            </w:r>
          </w:p>
          <w:p>
            <w:pPr>
              <w:pStyle w:val="2"/>
            </w:pPr>
          </w:p>
          <w:p>
            <w:pPr>
              <w:spacing w:line="240" w:lineRule="exact"/>
              <w:ind w:firstLine="480" w:firstLineChars="200"/>
              <w:rPr>
                <w:rFonts w:ascii="宋体" w:hAnsi="宋体"/>
                <w:b/>
                <w:sz w:val="21"/>
                <w:szCs w:val="21"/>
              </w:rPr>
            </w:pPr>
            <w:r>
              <w:rPr>
                <w:rFonts w:hint="eastAsia"/>
                <w:bCs/>
                <w:szCs w:val="21"/>
              </w:rPr>
              <w:t>在组织各职能和层次上建立了管理目标指标，并制定了相应控制方案。基本适宜公司特点。目标具有可测量性，对目标完成情况进行了考核。对制订的管理方案实施情况定期进行检查。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2"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 xml:space="preserve">6. </w:t>
            </w:r>
            <w:r>
              <w:rPr>
                <w:rFonts w:hint="eastAsia" w:ascii="宋体" w:hAnsi="宋体"/>
                <w:b/>
                <w:sz w:val="21"/>
                <w:szCs w:val="21"/>
              </w:rPr>
              <w:t>文件与记录控制</w:t>
            </w:r>
            <w:r>
              <w:rPr>
                <w:rFonts w:ascii="宋体" w:hAnsi="宋体"/>
                <w:b/>
                <w:sz w:val="21"/>
                <w:szCs w:val="21"/>
              </w:rPr>
              <w:t>(</w:t>
            </w:r>
            <w:r>
              <w:rPr>
                <w:rFonts w:hint="eastAsia" w:ascii="宋体" w:hAnsi="宋体"/>
                <w:b/>
                <w:sz w:val="21"/>
                <w:szCs w:val="21"/>
              </w:rPr>
              <w:t>文审修订后文件与标准的符合程度评价、文件控制管理等</w:t>
            </w:r>
            <w:r>
              <w:rPr>
                <w:rFonts w:ascii="宋体" w:hAnsi="宋体"/>
                <w:b/>
                <w:sz w:val="21"/>
                <w:szCs w:val="21"/>
              </w:rPr>
              <w:t>)</w:t>
            </w:r>
          </w:p>
          <w:p>
            <w:pPr>
              <w:tabs>
                <w:tab w:val="left" w:pos="540"/>
              </w:tabs>
              <w:spacing w:line="240" w:lineRule="exact"/>
              <w:rPr>
                <w:rFonts w:ascii="宋体" w:hAnsi="宋体"/>
                <w:b/>
                <w:sz w:val="21"/>
                <w:szCs w:val="21"/>
              </w:rPr>
            </w:pPr>
            <w:r>
              <w:rPr>
                <w:rFonts w:hint="eastAsia"/>
                <w:szCs w:val="21"/>
              </w:rPr>
              <w:t>文件符合标准要求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0" w:hRule="atLeast"/>
          <w:jc w:val="center"/>
        </w:trPr>
        <w:tc>
          <w:tcPr>
            <w:tcW w:w="720" w:type="dxa"/>
            <w:vMerge w:val="restart"/>
            <w:textDirection w:val="tbRlV"/>
            <w:vAlign w:val="center"/>
          </w:tcPr>
          <w:p>
            <w:pPr>
              <w:spacing w:line="240" w:lineRule="exact"/>
              <w:ind w:left="113" w:right="113"/>
              <w:jc w:val="center"/>
              <w:rPr>
                <w:b/>
                <w:szCs w:val="21"/>
              </w:rPr>
            </w:pPr>
            <w:r>
              <w:rPr>
                <w:b/>
                <w:szCs w:val="21"/>
              </w:rPr>
              <w:br w:type="page"/>
            </w:r>
            <w:r>
              <w:rPr>
                <w:rFonts w:ascii="宋体" w:hAnsi="宋体"/>
                <w:b/>
                <w:szCs w:val="21"/>
              </w:rPr>
              <w:t>(</w:t>
            </w:r>
            <w:r>
              <w:rPr>
                <w:rFonts w:hint="eastAsia" w:ascii="宋体" w:hAnsi="宋体"/>
                <w:b/>
                <w:szCs w:val="21"/>
              </w:rPr>
              <w:t>二</w:t>
            </w:r>
            <w:r>
              <w:rPr>
                <w:rFonts w:ascii="宋体" w:hAnsi="宋体"/>
                <w:b/>
                <w:szCs w:val="21"/>
              </w:rPr>
              <w:t>)</w:t>
            </w:r>
            <w:r>
              <w:rPr>
                <w:rFonts w:hint="eastAsia" w:ascii="宋体" w:hAnsi="宋体"/>
                <w:b/>
                <w:szCs w:val="21"/>
              </w:rPr>
              <w:t>资源评价</w:t>
            </w:r>
          </w:p>
        </w:tc>
        <w:tc>
          <w:tcPr>
            <w:tcW w:w="9198" w:type="dxa"/>
            <w:vAlign w:val="top"/>
          </w:tcPr>
          <w:p>
            <w:pPr>
              <w:spacing w:line="300" w:lineRule="exact"/>
              <w:rPr>
                <w:rFonts w:ascii="宋体" w:hAnsi="宋体"/>
                <w:b/>
                <w:color w:val="000000" w:themeColor="text1"/>
                <w:sz w:val="20"/>
                <w:szCs w:val="20"/>
              </w:rPr>
            </w:pPr>
            <w:r>
              <w:rPr>
                <w:rFonts w:hint="eastAsia" w:ascii="宋体" w:hAnsi="宋体"/>
                <w:b/>
                <w:color w:val="000000" w:themeColor="text1"/>
                <w:sz w:val="20"/>
                <w:szCs w:val="20"/>
              </w:rPr>
              <w:t>人力资源的简要说明</w:t>
            </w:r>
            <w:r>
              <w:rPr>
                <w:rFonts w:hint="eastAsia"/>
                <w:b/>
                <w:color w:val="000000" w:themeColor="text1"/>
                <w:sz w:val="20"/>
                <w:szCs w:val="20"/>
              </w:rPr>
              <w:t>.</w:t>
            </w:r>
            <w:r>
              <w:rPr>
                <w:rFonts w:hint="eastAsia" w:ascii="宋体" w:hAnsi="宋体"/>
                <w:b/>
                <w:color w:val="000000" w:themeColor="text1"/>
                <w:sz w:val="20"/>
                <w:szCs w:val="20"/>
              </w:rPr>
              <w:t>:</w:t>
            </w:r>
          </w:p>
          <w:p>
            <w:pPr>
              <w:pStyle w:val="2"/>
            </w:pPr>
          </w:p>
          <w:p>
            <w:pPr>
              <w:rPr>
                <w:rFonts w:ascii="宋体" w:hAnsi="宋体"/>
                <w:b/>
                <w:sz w:val="21"/>
                <w:szCs w:val="21"/>
              </w:rPr>
            </w:pPr>
            <w:r>
              <w:rPr>
                <w:rFonts w:hint="eastAsia"/>
                <w:bCs/>
                <w:szCs w:val="21"/>
              </w:rPr>
              <w:t>该公司员工共</w:t>
            </w:r>
            <w:r>
              <w:rPr>
                <w:rFonts w:hint="eastAsia"/>
                <w:bCs/>
                <w:szCs w:val="21"/>
                <w:lang w:val="en-US" w:eastAsia="zh-CN"/>
              </w:rPr>
              <w:t>10</w:t>
            </w:r>
            <w:r>
              <w:rPr>
                <w:rFonts w:hint="eastAsia"/>
                <w:bCs/>
                <w:szCs w:val="21"/>
              </w:rPr>
              <w:t>人</w:t>
            </w:r>
            <w:r>
              <w:rPr>
                <w:rFonts w:hint="eastAsia"/>
                <w:bCs/>
                <w:color w:val="auto"/>
                <w:szCs w:val="21"/>
              </w:rPr>
              <w:t>，管理人</w:t>
            </w:r>
            <w:r>
              <w:rPr>
                <w:rFonts w:hint="eastAsia"/>
                <w:bCs/>
                <w:color w:val="auto"/>
                <w:szCs w:val="21"/>
                <w:lang w:val="en-US" w:eastAsia="zh-CN"/>
              </w:rPr>
              <w:t>2</w:t>
            </w:r>
            <w:r>
              <w:rPr>
                <w:rFonts w:hint="eastAsia"/>
                <w:bCs/>
                <w:color w:val="auto"/>
                <w:szCs w:val="21"/>
              </w:rPr>
              <w:t>人。有</w:t>
            </w:r>
            <w:r>
              <w:rPr>
                <w:rFonts w:hint="eastAsia" w:ascii="宋体" w:hAnsi="宋体"/>
                <w:color w:val="auto"/>
                <w:szCs w:val="21"/>
              </w:rPr>
              <w:t>应用软件开发（医疗器械软件除外）；电子产品的销售</w:t>
            </w:r>
            <w:r>
              <w:rPr>
                <w:rFonts w:hint="eastAsia" w:ascii="宋体" w:hAnsi="宋体"/>
                <w:color w:val="auto"/>
                <w:szCs w:val="21"/>
                <w:lang w:val="en-US" w:eastAsia="zh-CN"/>
              </w:rPr>
              <w:t>人员，</w:t>
            </w:r>
            <w:r>
              <w:rPr>
                <w:rFonts w:hint="eastAsia"/>
                <w:bCs/>
                <w:color w:val="auto"/>
                <w:szCs w:val="21"/>
              </w:rPr>
              <w:t>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0"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设备设施（包括信息系统）、</w:t>
            </w:r>
          </w:p>
          <w:p>
            <w:pPr>
              <w:rPr>
                <w:rFonts w:cs="Lucida Sans"/>
                <w:b/>
                <w:szCs w:val="20"/>
              </w:rPr>
            </w:pPr>
            <w:r>
              <w:rPr>
                <w:rFonts w:hint="eastAsia" w:ascii="黑体" w:hAnsi="黑体" w:eastAsia="黑体" w:cs="黑体"/>
                <w:color w:val="000000"/>
                <w:szCs w:val="21"/>
              </w:rPr>
              <w:t>办公设备:电脑/打印机/传真机/电话等</w:t>
            </w:r>
            <w:r>
              <w:rPr>
                <w:rFonts w:hint="eastAsia" w:cs="Lucida Sans"/>
                <w:b/>
                <w:szCs w:val="20"/>
              </w:rPr>
              <w:t>。提供维修保养计划及记录，满足要求。</w:t>
            </w:r>
          </w:p>
          <w:p>
            <w:r>
              <w:rPr>
                <w:rFonts w:hint="eastAsia" w:cs="Lucida Sans"/>
                <w:b/>
                <w:szCs w:val="20"/>
              </w:rPr>
              <w:t>环保设施包括：</w:t>
            </w:r>
            <w:r>
              <w:rPr>
                <w:rFonts w:hint="eastAsia"/>
              </w:rPr>
              <w:t>灭火器</w:t>
            </w:r>
            <w:r>
              <w:rPr>
                <w:rFonts w:hint="eastAsia"/>
                <w:szCs w:val="21"/>
              </w:rPr>
              <w:t>、</w:t>
            </w:r>
            <w:r>
              <w:rPr>
                <w:rFonts w:hint="eastAsia" w:cs="Lucida Sans"/>
                <w:b/>
                <w:szCs w:val="20"/>
              </w:rPr>
              <w:t>垃圾桶；</w:t>
            </w:r>
          </w:p>
          <w:p>
            <w:pPr>
              <w:widowControl/>
              <w:spacing w:line="460" w:lineRule="exact"/>
              <w:jc w:val="left"/>
              <w:rPr>
                <w:szCs w:val="21"/>
              </w:rPr>
            </w:pPr>
            <w:r>
              <w:rPr>
                <w:rFonts w:hint="eastAsia" w:cs="Lucida Sans"/>
                <w:b/>
                <w:szCs w:val="20"/>
              </w:rPr>
              <w:t>安全设施配置主要有：标识牌、灭火器、消防器材等，</w:t>
            </w:r>
          </w:p>
          <w:p>
            <w:pPr>
              <w:spacing w:line="240" w:lineRule="exact"/>
              <w:rPr>
                <w:rFonts w:ascii="宋体" w:hAnsi="宋体"/>
                <w:b/>
                <w:color w:val="000000" w:themeColor="text1"/>
                <w:sz w:val="20"/>
                <w:szCs w:val="20"/>
              </w:rPr>
            </w:pP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5"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过程运行环境</w:t>
            </w:r>
          </w:p>
          <w:p>
            <w:r>
              <w:rPr>
                <w:rFonts w:hint="eastAsia"/>
              </w:rPr>
              <w:t>现场观察</w:t>
            </w:r>
            <w:r>
              <w:rPr>
                <w:rFonts w:hint="eastAsia"/>
                <w:lang w:val="en-US" w:eastAsia="zh-CN"/>
              </w:rPr>
              <w:t>服务</w:t>
            </w:r>
            <w:r>
              <w:rPr>
                <w:rFonts w:hint="eastAsia"/>
              </w:rPr>
              <w:t>区和办公区域环境卫生管理，工作场所布局合理，温湿度适宜，照明良好，满足办公需求。</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2"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监视和测量资源</w:t>
            </w:r>
          </w:p>
          <w:p>
            <w:pPr>
              <w:rPr>
                <w:rFonts w:hint="default" w:eastAsia="宋体" w:cs="Lucida Sans"/>
                <w:b/>
                <w:szCs w:val="20"/>
                <w:highlight w:val="yellow"/>
                <w:lang w:val="en-US" w:eastAsia="zh-CN"/>
              </w:rPr>
            </w:pPr>
            <w:r>
              <w:rPr>
                <w:rFonts w:hint="eastAsia"/>
              </w:rPr>
              <w:t>监视和测量设备</w:t>
            </w:r>
            <w:r>
              <w:rPr>
                <w:rFonts w:hint="eastAsia"/>
                <w:lang w:eastAsia="zh-CN"/>
              </w:rPr>
              <w:t>：</w:t>
            </w:r>
            <w:r>
              <w:rPr>
                <w:rFonts w:hint="eastAsia"/>
                <w:lang w:val="en-US" w:eastAsia="zh-CN"/>
              </w:rPr>
              <w:t>无</w:t>
            </w:r>
          </w:p>
          <w:p>
            <w:pPr>
              <w:spacing w:line="240" w:lineRule="exact"/>
              <w:rPr>
                <w:rFonts w:ascii="宋体" w:hAnsi="宋体"/>
                <w:b/>
                <w:sz w:val="21"/>
                <w:szCs w:val="21"/>
              </w:rPr>
            </w:pPr>
            <w:r>
              <w:rPr>
                <w:rFonts w:hint="eastAsia"/>
              </w:rPr>
              <w:t>编制有监测和测量检查记录，能不定期对服务进行检查。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知识</w:t>
            </w:r>
          </w:p>
          <w:p>
            <w:r>
              <w:rPr>
                <w:rFonts w:hint="eastAsia"/>
              </w:rPr>
              <w:t>公司确定运行过程所需的知识，内部来源包括公司运作准则（管理制度、工作记录等）等。外部来源包括外来资料如认证标准、法律法规、市场信息等。</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9"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环保设施：</w:t>
            </w:r>
          </w:p>
          <w:p>
            <w:pPr>
              <w:spacing w:line="240" w:lineRule="exact"/>
              <w:rPr>
                <w:rFonts w:ascii="宋体" w:hAnsi="宋体"/>
                <w:color w:val="000000" w:themeColor="text1"/>
                <w:sz w:val="20"/>
                <w:szCs w:val="20"/>
              </w:rPr>
            </w:pPr>
            <w:r>
              <w:rPr>
                <w:rFonts w:hint="eastAsia"/>
              </w:rPr>
              <w:t>灭火器</w:t>
            </w:r>
            <w:r>
              <w:rPr>
                <w:rFonts w:hint="eastAsia"/>
                <w:szCs w:val="21"/>
              </w:rPr>
              <w:t>、</w:t>
            </w:r>
            <w:r>
              <w:rPr>
                <w:rFonts w:hint="eastAsia" w:cs="Lucida Sans"/>
                <w:b/>
                <w:szCs w:val="20"/>
              </w:rPr>
              <w:t>垃圾桶</w:t>
            </w:r>
            <w:r>
              <w:rPr>
                <w:rFonts w:hint="eastAsia"/>
              </w:rPr>
              <w:t>。</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8"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spacing w:line="240" w:lineRule="exact"/>
              <w:rPr>
                <w:b/>
                <w:bCs/>
              </w:rPr>
            </w:pPr>
            <w:r>
              <w:rPr>
                <w:rFonts w:hint="eastAsia"/>
                <w:b/>
                <w:bCs/>
              </w:rPr>
              <w:t>职业健康安全设施：</w:t>
            </w:r>
          </w:p>
          <w:p>
            <w:pPr>
              <w:pStyle w:val="2"/>
              <w:rPr>
                <w:rFonts w:ascii="宋体" w:hAnsi="宋体"/>
                <w:b/>
                <w:sz w:val="21"/>
                <w:szCs w:val="21"/>
              </w:rPr>
            </w:pPr>
            <w:r>
              <w:rPr>
                <w:rFonts w:hint="eastAsia" w:cs="Lucida Sans"/>
                <w:b/>
                <w:szCs w:val="20"/>
              </w:rPr>
              <w:t>标识牌、灭火器、消防器材等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31" w:hRule="atLeast"/>
          <w:jc w:val="center"/>
        </w:trPr>
        <w:tc>
          <w:tcPr>
            <w:tcW w:w="720" w:type="dxa"/>
            <w:vMerge w:val="restart"/>
            <w:textDirection w:val="tbRlV"/>
            <w:vAlign w:val="center"/>
          </w:tcPr>
          <w:p>
            <w:pPr>
              <w:spacing w:line="240" w:lineRule="exact"/>
              <w:ind w:left="113" w:right="113"/>
              <w:jc w:val="center"/>
              <w:rPr>
                <w:b/>
                <w:szCs w:val="21"/>
              </w:rPr>
            </w:pPr>
            <w:r>
              <w:rPr>
                <w:rFonts w:ascii="宋体" w:hAnsi="宋体"/>
                <w:b/>
                <w:szCs w:val="21"/>
              </w:rPr>
              <w:t>(</w:t>
            </w:r>
            <w:r>
              <w:rPr>
                <w:rFonts w:hint="eastAsia" w:ascii="宋体" w:hAnsi="宋体"/>
                <w:b/>
                <w:szCs w:val="21"/>
              </w:rPr>
              <w:t>三</w:t>
            </w:r>
            <w:r>
              <w:rPr>
                <w:rFonts w:ascii="宋体" w:hAnsi="宋体"/>
                <w:b/>
                <w:szCs w:val="21"/>
              </w:rPr>
              <w:t>)</w:t>
            </w:r>
            <w:r>
              <w:rPr>
                <w:rFonts w:hint="eastAsia" w:ascii="宋体" w:hAnsi="宋体"/>
                <w:b/>
                <w:szCs w:val="21"/>
              </w:rPr>
              <w:t>体系运行情况</w:t>
            </w:r>
          </w:p>
        </w:tc>
        <w:tc>
          <w:tcPr>
            <w:tcW w:w="9198" w:type="dxa"/>
            <w:vAlign w:val="top"/>
          </w:tcPr>
          <w:p>
            <w:pPr>
              <w:spacing w:line="300" w:lineRule="exact"/>
              <w:rPr>
                <w:b/>
                <w:bCs/>
              </w:rPr>
            </w:pPr>
            <w:r>
              <w:rPr>
                <w:rFonts w:hint="eastAsia"/>
                <w:b/>
                <w:bCs/>
              </w:rPr>
              <w:t>1. 针对方针的管理职责评审</w:t>
            </w:r>
          </w:p>
          <w:p>
            <w:pPr>
              <w:spacing w:line="300" w:lineRule="exact"/>
              <w:ind w:left="1"/>
              <w:rPr>
                <w:b/>
                <w:bCs/>
              </w:rPr>
            </w:pPr>
            <w:r>
              <w:rPr>
                <w:rFonts w:hint="eastAsia"/>
                <w:b/>
                <w:bCs/>
              </w:rPr>
              <w:t>（包括针对组织宗旨，制定相关管理方针政策、确保方针为员工理解并在运营中实施，监视方针的实施并评审方针的适宜性）</w:t>
            </w:r>
          </w:p>
          <w:p>
            <w:pPr>
              <w:pStyle w:val="2"/>
              <w:rPr>
                <w:b/>
                <w:color w:val="000000" w:themeColor="text1"/>
                <w:sz w:val="20"/>
                <w:szCs w:val="20"/>
              </w:rPr>
            </w:pPr>
          </w:p>
          <w:p>
            <w:pPr>
              <w:spacing w:line="300" w:lineRule="exact"/>
              <w:ind w:left="1"/>
              <w:rPr>
                <w:b/>
                <w:color w:val="000000" w:themeColor="text1"/>
                <w:sz w:val="20"/>
                <w:szCs w:val="20"/>
              </w:rPr>
            </w:pPr>
            <w:r>
              <w:rPr>
                <w:rFonts w:hint="eastAsia"/>
                <w:bCs/>
                <w:szCs w:val="21"/>
              </w:rPr>
              <w:t>制定的方针符合组织宗旨，对方针进行宣传和传达学习，可以确保方针为员工理解。在管理评审中对方针进行了评价，目前基本适宜。</w:t>
            </w:r>
          </w:p>
          <w:p>
            <w:pPr>
              <w:pStyle w:val="2"/>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szCs w:val="21"/>
              </w:rPr>
            </w:pPr>
          </w:p>
        </w:tc>
        <w:tc>
          <w:tcPr>
            <w:tcW w:w="9198" w:type="dxa"/>
            <w:vAlign w:val="top"/>
          </w:tcPr>
          <w:p>
            <w:pPr>
              <w:spacing w:line="240" w:lineRule="exact"/>
              <w:ind w:left="159" w:hanging="159" w:hangingChars="79"/>
              <w:rPr>
                <w:b/>
                <w:color w:val="000000" w:themeColor="text1"/>
                <w:sz w:val="20"/>
                <w:szCs w:val="20"/>
              </w:rPr>
            </w:pPr>
            <w:r>
              <w:rPr>
                <w:rFonts w:hint="eastAsia"/>
                <w:b/>
                <w:color w:val="000000" w:themeColor="text1"/>
                <w:sz w:val="20"/>
                <w:szCs w:val="20"/>
              </w:rPr>
              <w:t>2. 组织内部沟通的充分性与效果；（OHSMS员工参与风险管理/健康安全事务的关心和影响力；组织对外联络关注顾客的感受情况、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pPr>
              <w:spacing w:line="240" w:lineRule="exact"/>
              <w:rPr>
                <w:rFonts w:ascii="楷体_GB2312" w:eastAsia="楷体_GB2312"/>
                <w:b/>
                <w:color w:val="000000" w:themeColor="text1"/>
                <w:sz w:val="20"/>
                <w:szCs w:val="20"/>
              </w:rPr>
            </w:pPr>
          </w:p>
          <w:p>
            <w:pPr>
              <w:spacing w:line="240" w:lineRule="exact"/>
              <w:rPr>
                <w:bCs/>
                <w:szCs w:val="21"/>
              </w:rPr>
            </w:pPr>
            <w:r>
              <w:rPr>
                <w:rFonts w:hint="eastAsia" w:ascii="楷体_GB2312" w:eastAsia="楷体_GB2312"/>
                <w:b/>
                <w:szCs w:val="21"/>
              </w:rPr>
              <w:t>组织对外联络，关注顾客的感受情况（QMS）：</w:t>
            </w:r>
            <w:r>
              <w:rPr>
                <w:rFonts w:hint="eastAsia"/>
                <w:bCs/>
                <w:szCs w:val="21"/>
              </w:rPr>
              <w:t>顾客满意度调查表的发放、电话回访、到顾客现场进行询问、相关方告知书等形式</w:t>
            </w:r>
          </w:p>
          <w:p>
            <w:pPr>
              <w:spacing w:line="240" w:lineRule="exact"/>
              <w:rPr>
                <w:bCs/>
                <w:szCs w:val="21"/>
              </w:rPr>
            </w:pPr>
          </w:p>
          <w:p>
            <w:pPr>
              <w:spacing w:line="240" w:lineRule="exact"/>
              <w:rPr>
                <w:rFonts w:ascii="楷体_GB2312" w:eastAsia="楷体_GB2312"/>
                <w:b/>
                <w:szCs w:val="21"/>
              </w:rPr>
            </w:pPr>
            <w:r>
              <w:rPr>
                <w:rFonts w:hint="eastAsia" w:ascii="楷体_GB2312" w:eastAsia="楷体_GB2312"/>
                <w:b/>
                <w:szCs w:val="21"/>
              </w:rPr>
              <w:t>外部信息的接收、成文并答复的情况（E、S填写）：</w:t>
            </w:r>
            <w:r>
              <w:rPr>
                <w:rFonts w:hint="eastAsia"/>
                <w:bCs/>
                <w:szCs w:val="21"/>
              </w:rPr>
              <w:t>进行接收、答复，但未进行记录</w:t>
            </w:r>
          </w:p>
          <w:p>
            <w:pPr>
              <w:spacing w:line="240" w:lineRule="exact"/>
              <w:rPr>
                <w:rFonts w:ascii="楷体_GB2312" w:eastAsia="楷体_GB2312"/>
                <w:b/>
                <w:szCs w:val="21"/>
              </w:rPr>
            </w:pPr>
          </w:p>
          <w:p>
            <w:pPr>
              <w:spacing w:line="240" w:lineRule="exact"/>
              <w:rPr>
                <w:rFonts w:ascii="楷体_GB2312" w:eastAsia="楷体_GB2312"/>
                <w:b/>
                <w:szCs w:val="21"/>
              </w:rPr>
            </w:pPr>
            <w:r>
              <w:rPr>
                <w:rFonts w:hint="eastAsia" w:ascii="楷体_GB2312" w:eastAsia="楷体_GB2312"/>
                <w:b/>
                <w:szCs w:val="21"/>
              </w:rPr>
              <w:t>重要环境因素信息对外交流情况（EMS填写）：</w:t>
            </w:r>
            <w:r>
              <w:rPr>
                <w:rFonts w:hint="eastAsia"/>
                <w:bCs/>
                <w:szCs w:val="21"/>
              </w:rPr>
              <w:t>对相关方进行了书面告知，见到相关方告知书。内容符合标准要求</w:t>
            </w:r>
          </w:p>
          <w:p>
            <w:pPr>
              <w:spacing w:line="240" w:lineRule="exact"/>
              <w:rPr>
                <w:rFonts w:ascii="楷体_GB2312" w:eastAsia="楷体_GB2312"/>
                <w:b/>
                <w:szCs w:val="21"/>
              </w:rPr>
            </w:pPr>
          </w:p>
          <w:p>
            <w:pPr>
              <w:spacing w:line="240" w:lineRule="exact"/>
              <w:rPr>
                <w:bCs/>
                <w:szCs w:val="21"/>
              </w:rPr>
            </w:pPr>
            <w:r>
              <w:rPr>
                <w:rFonts w:hint="eastAsia" w:ascii="楷体_GB2312" w:eastAsia="楷体_GB2312"/>
                <w:b/>
                <w:szCs w:val="21"/>
              </w:rPr>
              <w:t>OHSMS事务代表协商和交流的情况（OHSMS填写）：</w:t>
            </w:r>
            <w:r>
              <w:rPr>
                <w:rFonts w:hint="eastAsia"/>
                <w:bCs/>
                <w:szCs w:val="21"/>
              </w:rPr>
              <w:t>，参与了体系文件的制定，每年召开一次员工代表会议。但未保留记录</w:t>
            </w:r>
          </w:p>
          <w:p>
            <w:pPr>
              <w:spacing w:line="240" w:lineRule="exact"/>
              <w:rPr>
                <w:rFonts w:ascii="楷体_GB2312" w:eastAsia="楷体_GB2312"/>
                <w:b/>
                <w:szCs w:val="21"/>
              </w:rPr>
            </w:pPr>
          </w:p>
          <w:p>
            <w:pPr>
              <w:spacing w:line="240" w:lineRule="exact"/>
              <w:rPr>
                <w:rFonts w:ascii="宋体" w:hAnsi="宋体"/>
                <w:b/>
                <w:sz w:val="21"/>
                <w:szCs w:val="21"/>
              </w:rPr>
            </w:pPr>
            <w:r>
              <w:rPr>
                <w:rFonts w:hint="eastAsia" w:ascii="楷体_GB2312" w:eastAsia="楷体_GB2312"/>
                <w:b/>
                <w:szCs w:val="21"/>
              </w:rPr>
              <w:t>与相关方协商的情况（OHSMS填写）：</w:t>
            </w:r>
            <w:r>
              <w:rPr>
                <w:rFonts w:hint="eastAsia"/>
                <w:bCs/>
                <w:szCs w:val="21"/>
              </w:rPr>
              <w:t>对相关方进行了书面告知，见到相关方告知书。内容符合标准要求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3.  QMS 组织对重要过程实施控制的结果</w:t>
            </w:r>
          </w:p>
          <w:p>
            <w:pPr>
              <w:spacing w:line="240" w:lineRule="exact"/>
              <w:ind w:left="201" w:leftChars="42" w:hanging="100" w:hangingChars="50"/>
              <w:rPr>
                <w:b/>
                <w:color w:val="000000" w:themeColor="text1"/>
                <w:sz w:val="20"/>
                <w:szCs w:val="20"/>
              </w:rPr>
            </w:pPr>
            <w:r>
              <w:rPr>
                <w:rFonts w:hint="eastAsia"/>
                <w:b/>
                <w:color w:val="000000" w:themeColor="text1"/>
                <w:sz w:val="20"/>
                <w:szCs w:val="20"/>
              </w:rPr>
              <w:t>(包括对QMS关键工序(过程)、特殊过程控制;评价组织对过程实施控制情况/)</w:t>
            </w:r>
          </w:p>
          <w:p>
            <w:pPr>
              <w:spacing w:line="240" w:lineRule="exact"/>
              <w:jc w:val="left"/>
              <w:rPr>
                <w:bCs/>
                <w:szCs w:val="21"/>
              </w:rPr>
            </w:pPr>
          </w:p>
          <w:p>
            <w:pPr>
              <w:rPr>
                <w:color w:val="000000" w:themeColor="text1"/>
              </w:rPr>
            </w:pPr>
            <w:r>
              <w:rPr>
                <w:rFonts w:hint="eastAsia" w:ascii="宋体" w:hAnsi="宋体" w:cs="宋体"/>
                <w:color w:val="000000"/>
                <w:szCs w:val="21"/>
              </w:rPr>
              <w:t>公司在体系文件中，规定了公司各管理层次（如质量职能部门）和在各阶段对产品和服务过程质量实施检查与验收的管理要求，质量检查与验收范围包括了各相关阶段和过程类型，各个层次相关的检查与验收活动的策划、实施和改进活动正常有序展开（包</w:t>
            </w:r>
            <w:r>
              <w:rPr>
                <w:rFonts w:hint="eastAsia" w:ascii="宋体" w:hAnsi="宋体" w:cs="宋体"/>
                <w:color w:val="000000" w:themeColor="text1"/>
                <w:szCs w:val="21"/>
              </w:rPr>
              <w:t>括回访和顾客满意度调查），相关绩效表明：组织基本能有效控制管理其生产及服务过程，</w:t>
            </w:r>
            <w:r>
              <w:rPr>
                <w:rFonts w:hint="eastAsia"/>
                <w:lang w:eastAsia="zh-CN"/>
              </w:rPr>
              <w:t>软件开发</w:t>
            </w:r>
            <w:r>
              <w:rPr>
                <w:rFonts w:hint="eastAsia"/>
                <w:lang w:val="en-US" w:eastAsia="zh-CN"/>
              </w:rPr>
              <w:t>过程、</w:t>
            </w:r>
            <w:r>
              <w:rPr>
                <w:rFonts w:hint="eastAsia" w:ascii="宋体" w:hAnsi="宋体"/>
                <w:b/>
                <w:color w:val="000000"/>
                <w:sz w:val="20"/>
                <w:szCs w:val="20"/>
                <w:lang w:val="en-US" w:eastAsia="zh-CN"/>
              </w:rPr>
              <w:t>销售</w:t>
            </w:r>
            <w:r>
              <w:rPr>
                <w:rFonts w:hint="eastAsia" w:cs="Times New Roman"/>
                <w:bCs/>
                <w:spacing w:val="10"/>
                <w:kern w:val="2"/>
                <w:sz w:val="21"/>
                <w:szCs w:val="22"/>
                <w:lang w:val="en-US" w:eastAsia="zh-CN" w:bidi="ar-SA"/>
              </w:rPr>
              <w:t>过程</w:t>
            </w:r>
            <w:r>
              <w:rPr>
                <w:rFonts w:hint="eastAsia"/>
                <w:bCs/>
                <w:color w:val="000000" w:themeColor="text1"/>
                <w:szCs w:val="21"/>
              </w:rPr>
              <w:t>为特殊过程，公司制定了“特殊过程评审、确认准则”，</w:t>
            </w:r>
            <w:r>
              <w:rPr>
                <w:rFonts w:hint="eastAsia" w:ascii="宋体" w:hAnsi="宋体" w:cs="宋体"/>
                <w:color w:val="000000" w:themeColor="text1"/>
                <w:szCs w:val="21"/>
              </w:rPr>
              <w:t>从审核过程看，公司的产品质量管理基本受控</w:t>
            </w:r>
            <w:r>
              <w:rPr>
                <w:rFonts w:hint="eastAsia" w:ascii="宋体" w:hAnsi="宋体" w:cs="宋体"/>
                <w:color w:val="000000" w:themeColor="text1"/>
                <w:szCs w:val="21"/>
                <w:lang w:eastAsia="zh-CN"/>
              </w:rPr>
              <w:t>，</w:t>
            </w:r>
            <w:r>
              <w:rPr>
                <w:rFonts w:hint="eastAsia"/>
                <w:bCs/>
                <w:color w:val="000000" w:themeColor="text1"/>
                <w:szCs w:val="21"/>
              </w:rPr>
              <w:t>能对重要过程实施控制</w:t>
            </w:r>
          </w:p>
          <w:p>
            <w:pPr>
              <w:jc w:val="lef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vAlign w:val="top"/>
          </w:tcPr>
          <w:p>
            <w:pPr>
              <w:spacing w:line="300" w:lineRule="exact"/>
              <w:jc w:val="left"/>
              <w:rPr>
                <w:b/>
                <w:color w:val="000000" w:themeColor="text1"/>
                <w:sz w:val="20"/>
                <w:szCs w:val="20"/>
              </w:rPr>
            </w:pPr>
            <w:r>
              <w:rPr>
                <w:rFonts w:hint="eastAsia"/>
                <w:b/>
                <w:color w:val="000000" w:themeColor="text1"/>
                <w:sz w:val="20"/>
                <w:szCs w:val="20"/>
              </w:rPr>
              <w:t>4.QMS产品/服务的标准、协议/规范的有效性以及产品/服务质量符合要求，向顾客稳定提供合格产品的情况；</w:t>
            </w:r>
          </w:p>
          <w:p>
            <w:pPr>
              <w:spacing w:line="300" w:lineRule="exact"/>
              <w:rPr>
                <w:b/>
                <w:color w:val="000000" w:themeColor="text1"/>
                <w:sz w:val="20"/>
                <w:szCs w:val="20"/>
              </w:rPr>
            </w:pPr>
          </w:p>
          <w:p>
            <w:pPr>
              <w:spacing w:line="300" w:lineRule="exact"/>
              <w:rPr>
                <w:b/>
                <w:color w:val="000000" w:themeColor="text1"/>
                <w:sz w:val="20"/>
                <w:szCs w:val="20"/>
              </w:rPr>
            </w:pPr>
          </w:p>
          <w:p>
            <w:pPr>
              <w:spacing w:line="240" w:lineRule="exact"/>
              <w:rPr>
                <w:rFonts w:ascii="宋体" w:hAnsi="宋体"/>
                <w:b/>
                <w:sz w:val="21"/>
                <w:szCs w:val="21"/>
              </w:rPr>
            </w:pPr>
            <w:r>
              <w:rPr>
                <w:rFonts w:hint="eastAsia" w:ascii="宋体" w:hAnsi="宋体" w:cs="宋体"/>
                <w:color w:val="000000"/>
                <w:szCs w:val="21"/>
              </w:rPr>
              <w:t>制定并实施了产品检验控制规定，规定了公司各管理层次和品质检测部门在各阶段对产品服务质量实施检查与验收的管理要求。内容基本具备全面性、系统性及可操作性。质量检查与验收均在</w:t>
            </w:r>
            <w:r>
              <w:rPr>
                <w:rFonts w:hint="eastAsia" w:ascii="宋体" w:hAnsi="宋体" w:cs="宋体"/>
                <w:color w:val="000000"/>
                <w:szCs w:val="21"/>
                <w:lang w:eastAsia="zh-CN"/>
              </w:rPr>
              <w:t>交付顾客</w:t>
            </w:r>
            <w:r>
              <w:rPr>
                <w:rFonts w:hint="eastAsia" w:ascii="宋体" w:hAnsi="宋体" w:cs="宋体"/>
                <w:color w:val="000000"/>
                <w:szCs w:val="21"/>
              </w:rPr>
              <w:t>前予以实现，范围包括：过程、最终产品。以此保证持续向顾客稳定提供稳定合格的产品。</w:t>
            </w:r>
          </w:p>
          <w:p>
            <w:pPr>
              <w:spacing w:line="240" w:lineRule="exact"/>
              <w:rPr>
                <w:b/>
                <w:color w:val="000000" w:themeColor="text1"/>
                <w:sz w:val="20"/>
                <w:szCs w:val="20"/>
              </w:rPr>
            </w:pPr>
          </w:p>
          <w:p>
            <w:pPr>
              <w:spacing w:line="240" w:lineRule="exact"/>
              <w:rPr>
                <w:b/>
                <w:color w:val="000000" w:themeColor="text1"/>
                <w:sz w:val="20"/>
                <w:szCs w:val="20"/>
              </w:rPr>
            </w:pPr>
          </w:p>
          <w:p>
            <w:pPr>
              <w:spacing w:line="240" w:lineRule="exact"/>
              <w:rPr>
                <w:b/>
                <w:color w:val="000000" w:themeColor="text1"/>
                <w:sz w:val="20"/>
                <w:szCs w:val="20"/>
              </w:rPr>
            </w:pPr>
          </w:p>
          <w:p>
            <w:pPr>
              <w:spacing w:line="240" w:lineRule="exact"/>
              <w:rPr>
                <w:b/>
                <w:color w:val="000000" w:themeColor="text1"/>
                <w:sz w:val="20"/>
                <w:szCs w:val="20"/>
              </w:rPr>
            </w:pPr>
            <w:r>
              <w:rPr>
                <w:rFonts w:hint="eastAsia"/>
                <w:b/>
                <w:color w:val="000000" w:themeColor="text1"/>
                <w:sz w:val="20"/>
                <w:szCs w:val="20"/>
              </w:rPr>
              <w:t>(应说明相关证据)：</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5 .QMS国家/地方技术监督部门监测（检测、委托检测、定期监测、型式试验等）、抽查结果</w:t>
            </w:r>
          </w:p>
          <w:p>
            <w:pPr>
              <w:spacing w:line="240" w:lineRule="exact"/>
              <w:ind w:firstLine="201" w:firstLineChars="100"/>
              <w:rPr>
                <w:b/>
                <w:color w:val="000000" w:themeColor="text1"/>
                <w:sz w:val="20"/>
                <w:szCs w:val="20"/>
              </w:rPr>
            </w:pPr>
          </w:p>
          <w:p>
            <w:pPr>
              <w:spacing w:line="300" w:lineRule="exact"/>
              <w:ind w:firstLine="197" w:firstLineChars="98"/>
              <w:rPr>
                <w:rFonts w:ascii="宋体" w:hAnsi="宋体"/>
                <w:b/>
                <w:sz w:val="21"/>
                <w:szCs w:val="21"/>
              </w:rPr>
            </w:pPr>
            <w:r>
              <w:rPr>
                <w:rFonts w:hint="eastAsia"/>
                <w:b/>
                <w:color w:val="000000" w:themeColor="text1"/>
                <w:sz w:val="20"/>
                <w:szCs w:val="20"/>
              </w:rPr>
              <w:t>（附相关证据）：无</w:t>
            </w:r>
            <w:r>
              <w:rPr>
                <w:b/>
                <w:color w:val="000000" w:themeColor="text1"/>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vAlign w:val="top"/>
          </w:tcPr>
          <w:p>
            <w:pPr>
              <w:spacing w:line="240" w:lineRule="exact"/>
            </w:pPr>
            <w:r>
              <w:rPr>
                <w:rFonts w:hint="eastAsia"/>
              </w:rPr>
              <w:t>6. 不合格品/项的识别、控制;</w:t>
            </w:r>
          </w:p>
          <w:p>
            <w:pPr>
              <w:spacing w:line="240" w:lineRule="exact"/>
            </w:pPr>
          </w:p>
          <w:p>
            <w:pPr>
              <w:pStyle w:val="2"/>
              <w:rPr>
                <w:rFonts w:ascii="宋体" w:hAnsi="宋体"/>
                <w:b/>
                <w:sz w:val="21"/>
                <w:szCs w:val="21"/>
              </w:rPr>
            </w:pPr>
            <w:bookmarkStart w:id="25" w:name="_GoBack"/>
            <w:bookmarkEnd w:id="25"/>
            <w:r>
              <w:rPr>
                <w:rFonts w:hint="eastAsia" w:ascii="宋体" w:hAnsi="宋体" w:cs="宋体"/>
                <w:color w:val="000000"/>
                <w:szCs w:val="21"/>
                <w:lang w:val="en-US" w:eastAsia="zh-CN"/>
              </w:rPr>
              <w:t>现场</w:t>
            </w:r>
            <w:r>
              <w:rPr>
                <w:rFonts w:hint="eastAsia" w:ascii="宋体" w:hAnsi="宋体" w:cs="宋体"/>
                <w:color w:val="000000"/>
                <w:szCs w:val="21"/>
              </w:rPr>
              <w:t>审核时未发现在审核覆盖的时期内发生过违规情况或严重的相关方投诉、赔偿等情况。公司通过客诉处理、满意度分析调查、绩效分析与改进、不合格纠正预防、内审、管理评审等手段实施持续改进。公司针对日常检查、客户投诉、内部审核、管理评审及数据分析等发现的问题，均已按要求实施了纠正措施并通过验证。公司针对顾客的反馈，进行了原因调查和分析，制定了纠正措施，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7. EMS组织对重要环境因素实施控制的结果</w:t>
            </w:r>
          </w:p>
          <w:p>
            <w:pPr>
              <w:spacing w:line="240" w:lineRule="exact"/>
              <w:rPr>
                <w:b/>
                <w:color w:val="000000" w:themeColor="text1"/>
                <w:sz w:val="20"/>
                <w:szCs w:val="20"/>
              </w:rPr>
            </w:pPr>
            <w:r>
              <w:rPr>
                <w:rFonts w:hint="eastAsia"/>
                <w:b/>
                <w:color w:val="000000" w:themeColor="text1"/>
                <w:sz w:val="20"/>
                <w:szCs w:val="20"/>
              </w:rPr>
              <w:t>（EMS对重要环境因素控制，重大环境因素对周边环境产生的影响及控制;对相关方施加影响）</w:t>
            </w:r>
          </w:p>
          <w:p>
            <w:pPr>
              <w:spacing w:line="240" w:lineRule="exact"/>
              <w:rPr>
                <w:b/>
                <w:color w:val="000000" w:themeColor="text1"/>
                <w:sz w:val="20"/>
                <w:szCs w:val="20"/>
              </w:rPr>
            </w:pPr>
          </w:p>
          <w:p>
            <w:pPr>
              <w:widowControl/>
              <w:spacing w:line="460" w:lineRule="exact"/>
              <w:jc w:val="left"/>
              <w:rPr>
                <w:rFonts w:ascii="宋体" w:hAnsi="宋体"/>
                <w:b/>
                <w:sz w:val="21"/>
                <w:szCs w:val="21"/>
              </w:rPr>
            </w:pPr>
            <w:r>
              <w:rPr>
                <w:rFonts w:hint="eastAsia"/>
                <w:bCs/>
                <w:color w:val="000000" w:themeColor="text1"/>
                <w:szCs w:val="21"/>
              </w:rPr>
              <w:t>对重要环境因素（</w:t>
            </w:r>
            <w:r>
              <w:rPr>
                <w:rFonts w:hint="eastAsia"/>
                <w:color w:val="000000" w:themeColor="text1"/>
              </w:rPr>
              <w:t>固体废弃物</w:t>
            </w:r>
            <w:r>
              <w:rPr>
                <w:rFonts w:hint="eastAsia"/>
                <w:color w:val="000000" w:themeColor="text1"/>
                <w:lang w:eastAsia="zh-CN"/>
              </w:rPr>
              <w:t>、</w:t>
            </w:r>
            <w:r>
              <w:rPr>
                <w:rFonts w:hint="eastAsia"/>
                <w:color w:val="000000" w:themeColor="text1"/>
              </w:rPr>
              <w:t>.火灾</w:t>
            </w:r>
            <w:r>
              <w:rPr>
                <w:rFonts w:hint="eastAsia"/>
                <w:bCs/>
                <w:color w:val="000000" w:themeColor="text1"/>
                <w:szCs w:val="21"/>
              </w:rPr>
              <w:t>）进行了识别和控制。目前公司重大环境因素对周边环境影响不大，可得到有效控制。对相关方进行了必要告知。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8. OHS 组织对不可接受风险实施控制的结果</w:t>
            </w:r>
          </w:p>
          <w:p>
            <w:pPr>
              <w:spacing w:line="240" w:lineRule="exact"/>
              <w:rPr>
                <w:b/>
                <w:color w:val="000000" w:themeColor="text1"/>
                <w:sz w:val="20"/>
                <w:szCs w:val="20"/>
              </w:rPr>
            </w:pPr>
          </w:p>
          <w:p>
            <w:pPr>
              <w:spacing w:line="240" w:lineRule="exact"/>
              <w:rPr>
                <w:rFonts w:ascii="宋体" w:hAnsi="宋体"/>
                <w:b/>
                <w:sz w:val="21"/>
                <w:szCs w:val="21"/>
              </w:rPr>
            </w:pPr>
            <w:r>
              <w:rPr>
                <w:rFonts w:hint="eastAsia"/>
                <w:bCs/>
                <w:color w:val="000000" w:themeColor="text1"/>
                <w:szCs w:val="21"/>
              </w:rPr>
              <w:t>对不可接受风险（</w:t>
            </w:r>
            <w:r>
              <w:rPr>
                <w:rFonts w:hint="eastAsia"/>
                <w:color w:val="000000" w:themeColor="text1"/>
              </w:rPr>
              <w:t>潜在火灾</w:t>
            </w:r>
            <w:r>
              <w:rPr>
                <w:rFonts w:hint="eastAsia"/>
                <w:color w:val="000000" w:themeColor="text1"/>
                <w:lang w:eastAsia="zh-CN"/>
              </w:rPr>
              <w:t>、</w:t>
            </w:r>
            <w:r>
              <w:rPr>
                <w:rFonts w:hint="eastAsia"/>
                <w:color w:val="000000" w:themeColor="text1"/>
              </w:rPr>
              <w:t>触电</w:t>
            </w:r>
            <w:r>
              <w:rPr>
                <w:rFonts w:hint="eastAsia"/>
                <w:color w:val="000000" w:themeColor="text1"/>
                <w:lang w:eastAsia="zh-CN"/>
              </w:rPr>
              <w:t>、</w:t>
            </w:r>
            <w:r>
              <w:rPr>
                <w:rFonts w:hint="eastAsia"/>
                <w:color w:val="000000" w:themeColor="text1"/>
                <w:szCs w:val="21"/>
              </w:rPr>
              <w:t>意外伤害</w:t>
            </w:r>
            <w:r>
              <w:rPr>
                <w:rFonts w:hint="eastAsia"/>
                <w:bCs/>
                <w:color w:val="000000" w:themeColor="text1"/>
                <w:szCs w:val="21"/>
              </w:rPr>
              <w:t>）进行了识别和控制。目前公司不可接受风险对公司及周边环境影响不大，可得到有效控制。对相关方进行了必要告知。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3" w:hRule="atLeast"/>
          <w:jc w:val="center"/>
        </w:trPr>
        <w:tc>
          <w:tcPr>
            <w:tcW w:w="720" w:type="dxa"/>
            <w:vMerge w:val="continue"/>
            <w:vAlign w:val="center"/>
          </w:tcPr>
          <w:p>
            <w:pPr>
              <w:spacing w:line="240" w:lineRule="exact"/>
              <w:jc w:val="center"/>
              <w:rPr>
                <w:b/>
                <w:szCs w:val="21"/>
              </w:rPr>
            </w:pPr>
          </w:p>
        </w:tc>
        <w:tc>
          <w:tcPr>
            <w:tcW w:w="9198" w:type="dxa"/>
            <w:vAlign w:val="top"/>
          </w:tcPr>
          <w:p>
            <w:pPr>
              <w:spacing w:line="240" w:lineRule="exact"/>
              <w:ind w:left="201" w:hanging="201" w:hangingChars="100"/>
              <w:rPr>
                <w:b/>
                <w:color w:val="000000" w:themeColor="text1"/>
                <w:sz w:val="20"/>
                <w:szCs w:val="20"/>
              </w:rPr>
            </w:pPr>
            <w:r>
              <w:rPr>
                <w:rFonts w:hint="eastAsia"/>
                <w:b/>
                <w:color w:val="000000" w:themeColor="text1"/>
                <w:sz w:val="20"/>
                <w:szCs w:val="20"/>
              </w:rPr>
              <w:t xml:space="preserve">9. 应急准备与相应活动的演练及对预案可行性的评价(当有规定时) </w:t>
            </w:r>
          </w:p>
          <w:p>
            <w:pPr>
              <w:spacing w:line="240" w:lineRule="exact"/>
              <w:rPr>
                <w:b/>
                <w:color w:val="000000" w:themeColor="text1"/>
                <w:spacing w:val="-4"/>
                <w:sz w:val="20"/>
                <w:szCs w:val="20"/>
              </w:rPr>
            </w:pPr>
          </w:p>
          <w:p>
            <w:pPr>
              <w:spacing w:line="240" w:lineRule="exact"/>
              <w:rPr>
                <w:rFonts w:ascii="宋体" w:hAnsi="宋体"/>
                <w:b/>
                <w:sz w:val="21"/>
                <w:szCs w:val="21"/>
              </w:rPr>
            </w:pPr>
            <w:r>
              <w:rPr>
                <w:rFonts w:hint="eastAsia"/>
                <w:bCs/>
                <w:szCs w:val="21"/>
              </w:rPr>
              <w:t>对火灾等制定了应急预案，并按要求进行了演练和评审，对演练效果进行了评价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1" w:hRule="atLeast"/>
          <w:jc w:val="center"/>
        </w:trPr>
        <w:tc>
          <w:tcPr>
            <w:tcW w:w="720" w:type="dxa"/>
            <w:vMerge w:val="continue"/>
            <w:vAlign w:val="center"/>
          </w:tcPr>
          <w:p>
            <w:pPr>
              <w:spacing w:line="240" w:lineRule="exact"/>
              <w:jc w:val="center"/>
              <w:rPr>
                <w:b/>
                <w:szCs w:val="21"/>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 xml:space="preserve">10. 对特种设备的维护; </w:t>
            </w:r>
            <w:r>
              <w:rPr>
                <w:rFonts w:hint="eastAsia"/>
                <w:b/>
                <w:sz w:val="20"/>
                <w:szCs w:val="20"/>
              </w:rPr>
              <w:t>（适用时）</w:t>
            </w:r>
          </w:p>
          <w:p>
            <w:pPr>
              <w:spacing w:line="240" w:lineRule="exact"/>
              <w:rPr>
                <w:b/>
                <w:color w:val="000000" w:themeColor="text1"/>
                <w:sz w:val="20"/>
                <w:szCs w:val="20"/>
              </w:rPr>
            </w:pPr>
          </w:p>
          <w:p>
            <w:pPr>
              <w:spacing w:line="240" w:lineRule="exact"/>
              <w:rPr>
                <w:rFonts w:ascii="宋体" w:hAnsi="宋体"/>
                <w:b/>
                <w:sz w:val="21"/>
                <w:szCs w:val="21"/>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4" w:hRule="atLeast"/>
          <w:jc w:val="center"/>
        </w:trPr>
        <w:tc>
          <w:tcPr>
            <w:tcW w:w="720" w:type="dxa"/>
            <w:vMerge w:val="continue"/>
            <w:vAlign w:val="center"/>
          </w:tcPr>
          <w:p>
            <w:pPr>
              <w:spacing w:line="240" w:lineRule="exact"/>
              <w:jc w:val="center"/>
              <w:rPr>
                <w:b/>
                <w:szCs w:val="21"/>
              </w:rPr>
            </w:pPr>
          </w:p>
        </w:tc>
        <w:tc>
          <w:tcPr>
            <w:tcW w:w="9198" w:type="dxa"/>
            <w:vAlign w:val="top"/>
          </w:tcPr>
          <w:p>
            <w:pPr>
              <w:spacing w:line="240" w:lineRule="exact"/>
              <w:rPr>
                <w:b/>
                <w:bCs/>
              </w:rPr>
            </w:pPr>
            <w:r>
              <w:rPr>
                <w:rFonts w:hint="eastAsia"/>
                <w:b/>
                <w:bCs/>
              </w:rPr>
              <w:t>11 .对危险化学品销售、使用、储存、运输处置，规定的执行力度(必要时); （适用时）</w:t>
            </w:r>
          </w:p>
          <w:p>
            <w:pPr>
              <w:pStyle w:val="2"/>
              <w:rPr>
                <w:b/>
                <w:sz w:val="20"/>
                <w:szCs w:val="20"/>
              </w:rPr>
            </w:pPr>
          </w:p>
          <w:p>
            <w:pPr>
              <w:pStyle w:val="2"/>
              <w:rPr>
                <w:rFonts w:ascii="宋体" w:hAnsi="宋体"/>
                <w:b/>
                <w:sz w:val="21"/>
                <w:szCs w:val="21"/>
              </w:rPr>
            </w:pPr>
            <w:r>
              <w:rPr>
                <w:rFonts w:hint="eastAsia"/>
                <w:b/>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6" w:hRule="atLeast"/>
          <w:jc w:val="center"/>
        </w:trPr>
        <w:tc>
          <w:tcPr>
            <w:tcW w:w="720" w:type="dxa"/>
            <w:vMerge w:val="restart"/>
            <w:textDirection w:val="tbRlV"/>
            <w:vAlign w:val="center"/>
          </w:tcPr>
          <w:p>
            <w:pPr>
              <w:spacing w:line="240" w:lineRule="exact"/>
              <w:ind w:left="113" w:right="113"/>
              <w:jc w:val="center"/>
              <w:rPr>
                <w:rFonts w:ascii="宋体" w:hAnsi="宋体"/>
                <w:b/>
                <w:szCs w:val="21"/>
              </w:rPr>
            </w:pPr>
            <w:r>
              <w:rPr>
                <w:rFonts w:ascii="宋体" w:hAnsi="宋体"/>
                <w:b/>
                <w:szCs w:val="21"/>
              </w:rPr>
              <w:t>(</w:t>
            </w:r>
            <w:r>
              <w:rPr>
                <w:rFonts w:hint="eastAsia" w:ascii="宋体" w:hAnsi="宋体"/>
                <w:b/>
                <w:szCs w:val="21"/>
              </w:rPr>
              <w:t>四</w:t>
            </w:r>
            <w:r>
              <w:rPr>
                <w:rFonts w:ascii="宋体" w:hAnsi="宋体"/>
                <w:b/>
                <w:szCs w:val="21"/>
              </w:rPr>
              <w:t>)</w:t>
            </w:r>
            <w:r>
              <w:rPr>
                <w:rFonts w:hint="eastAsia" w:ascii="宋体" w:hAnsi="宋体"/>
                <w:b/>
                <w:szCs w:val="21"/>
              </w:rPr>
              <w:t>监视测量方面</w:t>
            </w:r>
          </w:p>
        </w:tc>
        <w:tc>
          <w:tcPr>
            <w:tcW w:w="9198" w:type="dxa"/>
          </w:tcPr>
          <w:p>
            <w:pPr>
              <w:spacing w:line="240" w:lineRule="exact"/>
              <w:ind w:left="100" w:hanging="100" w:hangingChars="50"/>
              <w:rPr>
                <w:b/>
                <w:color w:val="000000" w:themeColor="text1"/>
                <w:sz w:val="20"/>
                <w:szCs w:val="20"/>
              </w:rPr>
            </w:pPr>
            <w:r>
              <w:rPr>
                <w:rFonts w:hint="eastAsia"/>
                <w:b/>
                <w:color w:val="000000" w:themeColor="text1"/>
                <w:sz w:val="20"/>
                <w:szCs w:val="20"/>
              </w:rPr>
              <w:t>1. .对质量/环境/职业健康安全目标指标进行定期监测/检查情况</w:t>
            </w:r>
          </w:p>
          <w:p>
            <w:pPr>
              <w:spacing w:line="240" w:lineRule="exact"/>
              <w:ind w:firstLine="100" w:firstLineChars="50"/>
              <w:rPr>
                <w:b/>
                <w:color w:val="000000" w:themeColor="text1"/>
                <w:sz w:val="20"/>
                <w:szCs w:val="20"/>
              </w:rPr>
            </w:pPr>
          </w:p>
          <w:p>
            <w:pPr>
              <w:spacing w:line="240" w:lineRule="exact"/>
              <w:ind w:firstLine="120" w:firstLineChars="50"/>
              <w:rPr>
                <w:rFonts w:ascii="宋体" w:hAnsi="宋体"/>
                <w:b/>
                <w:sz w:val="21"/>
                <w:szCs w:val="21"/>
              </w:rPr>
            </w:pPr>
            <w:r>
              <w:rPr>
                <w:rFonts w:hint="eastAsia" w:ascii="宋体" w:hAnsi="宋体" w:cs="宋体"/>
                <w:color w:val="000000"/>
                <w:szCs w:val="21"/>
                <w:highlight w:val="none"/>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通过</w:t>
            </w:r>
            <w:r>
              <w:rPr>
                <w:rFonts w:hint="eastAsia" w:ascii="宋体" w:hAnsi="宋体" w:cs="宋体"/>
                <w:szCs w:val="21"/>
                <w:highlight w:val="none"/>
                <w:lang w:val="en-US" w:eastAsia="zh-CN"/>
              </w:rPr>
              <w:t>2020年7-2021年6月</w:t>
            </w:r>
            <w:r>
              <w:rPr>
                <w:rFonts w:hint="eastAsia" w:ascii="宋体" w:hAnsi="宋体" w:cs="宋体"/>
                <w:szCs w:val="21"/>
                <w:highlight w:val="none"/>
              </w:rPr>
              <w:t>月</w:t>
            </w:r>
            <w:r>
              <w:rPr>
                <w:rFonts w:hint="eastAsia" w:ascii="宋体" w:hAnsi="宋体" w:cs="宋体"/>
                <w:color w:val="000000"/>
                <w:szCs w:val="21"/>
                <w:highlight w:val="none"/>
              </w:rPr>
              <w:t>目标的测量，总体已达到或超过了规定的目标值。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3"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spacing w:line="240" w:lineRule="exact"/>
              <w:ind w:left="100" w:hanging="100" w:hangingChars="50"/>
              <w:rPr>
                <w:b/>
                <w:color w:val="000000" w:themeColor="text1"/>
                <w:sz w:val="20"/>
                <w:szCs w:val="20"/>
              </w:rPr>
            </w:pPr>
            <w:r>
              <w:rPr>
                <w:rFonts w:hint="eastAsia"/>
                <w:b/>
                <w:color w:val="000000" w:themeColor="text1"/>
                <w:sz w:val="20"/>
                <w:szCs w:val="20"/>
              </w:rPr>
              <w:t>2.顾客满意</w:t>
            </w:r>
          </w:p>
          <w:p>
            <w:pPr>
              <w:spacing w:line="240" w:lineRule="exact"/>
              <w:ind w:left="100" w:hanging="100" w:hangingChars="50"/>
              <w:rPr>
                <w:b/>
                <w:color w:val="000000" w:themeColor="text1"/>
                <w:sz w:val="20"/>
                <w:szCs w:val="20"/>
              </w:rPr>
            </w:pPr>
          </w:p>
          <w:p>
            <w:pPr>
              <w:spacing w:line="240" w:lineRule="exact"/>
              <w:ind w:left="120" w:leftChars="0" w:hanging="120" w:hangingChars="50"/>
              <w:rPr>
                <w:rFonts w:ascii="宋体" w:hAnsi="宋体"/>
                <w:b/>
                <w:sz w:val="21"/>
                <w:szCs w:val="21"/>
              </w:rPr>
            </w:pPr>
            <w:r>
              <w:rPr>
                <w:rFonts w:hint="eastAsia" w:ascii="宋体" w:hAnsi="宋体" w:cs="宋体"/>
                <w:color w:val="000000"/>
                <w:szCs w:val="21"/>
                <w:highlight w:val="none"/>
              </w:rPr>
              <w:t>公司建立了顾客满意度监视和测量控制程序，对顾客投诉处理及顾客满意度评价做了明确的规定，并按规定对顾客反馈及时处理，但在顾客反馈信息的利用上不够，需要改善。近年来未发生重大顾客投诉和产品质量事故。顾客满意度调查按规定实施，</w:t>
            </w:r>
            <w:r>
              <w:rPr>
                <w:rFonts w:hint="eastAsia" w:ascii="宋体" w:hAnsi="宋体" w:cs="宋体"/>
                <w:szCs w:val="21"/>
                <w:highlight w:val="none"/>
              </w:rPr>
              <w:t>满意度评价9</w:t>
            </w:r>
            <w:r>
              <w:rPr>
                <w:rFonts w:hint="eastAsia" w:ascii="宋体" w:hAnsi="宋体" w:cs="宋体"/>
                <w:szCs w:val="21"/>
                <w:highlight w:val="none"/>
                <w:lang w:val="en-US" w:eastAsia="zh-CN"/>
              </w:rPr>
              <w:t>6</w:t>
            </w:r>
            <w:r>
              <w:rPr>
                <w:rFonts w:hint="eastAsia" w:ascii="宋体" w:hAnsi="宋体" w:cs="宋体"/>
                <w:szCs w:val="21"/>
                <w:highlight w:val="none"/>
              </w:rPr>
              <w:t>分，总体实现了顾客满意度的质量目标要求。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4"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3. 内审（包括内审策划审核方案中考虑拟审核的过程和区域的状况和重要性）</w:t>
            </w:r>
          </w:p>
          <w:p>
            <w:pPr>
              <w:spacing w:line="240" w:lineRule="exact"/>
              <w:rPr>
                <w:b/>
                <w:color w:val="000000" w:themeColor="text1"/>
                <w:spacing w:val="-8"/>
                <w:sz w:val="20"/>
                <w:szCs w:val="20"/>
              </w:rPr>
            </w:pPr>
          </w:p>
          <w:p>
            <w:pPr>
              <w:spacing w:line="240" w:lineRule="exact"/>
              <w:rPr>
                <w:rFonts w:ascii="宋体" w:hAnsi="宋体"/>
                <w:b/>
                <w:sz w:val="21"/>
                <w:szCs w:val="21"/>
              </w:rPr>
            </w:pPr>
          </w:p>
          <w:p>
            <w:pPr>
              <w:spacing w:line="240" w:lineRule="exact"/>
              <w:rPr>
                <w:rFonts w:ascii="宋体" w:hAnsi="宋体"/>
                <w:b/>
                <w:sz w:val="21"/>
                <w:szCs w:val="21"/>
              </w:rPr>
            </w:pPr>
            <w:r>
              <w:rPr>
                <w:rFonts w:hint="eastAsia" w:ascii="宋体" w:hAnsi="宋体"/>
                <w:szCs w:val="21"/>
              </w:rPr>
              <w:t>建立有《内部审核控制程序》，规定了内审频次一年一次，内审时间：20</w:t>
            </w:r>
            <w:r>
              <w:rPr>
                <w:rFonts w:hint="eastAsia" w:ascii="宋体" w:hAnsi="宋体"/>
                <w:szCs w:val="21"/>
                <w:lang w:val="en-US" w:eastAsia="zh-CN"/>
              </w:rPr>
              <w:t>21</w:t>
            </w:r>
            <w:r>
              <w:rPr>
                <w:rFonts w:hint="eastAsia" w:ascii="宋体" w:hAnsi="宋体"/>
                <w:szCs w:val="21"/>
              </w:rPr>
              <w:t>年</w:t>
            </w:r>
            <w:r>
              <w:rPr>
                <w:rFonts w:hint="eastAsia" w:ascii="宋体" w:hAnsi="宋体"/>
                <w:szCs w:val="21"/>
                <w:lang w:val="en-US" w:eastAsia="zh-CN"/>
              </w:rPr>
              <w:t>4</w:t>
            </w:r>
            <w:r>
              <w:rPr>
                <w:rFonts w:hint="eastAsia" w:ascii="宋体" w:hAnsi="宋体"/>
                <w:szCs w:val="21"/>
              </w:rPr>
              <w:t>月</w:t>
            </w:r>
            <w:r>
              <w:rPr>
                <w:rFonts w:hint="eastAsia" w:ascii="宋体" w:hAnsi="宋体"/>
                <w:szCs w:val="21"/>
                <w:lang w:val="en-US" w:eastAsia="zh-CN"/>
              </w:rPr>
              <w:t>10日</w:t>
            </w:r>
            <w:r>
              <w:rPr>
                <w:rFonts w:hint="eastAsia" w:ascii="宋体" w:hAnsi="宋体"/>
                <w:szCs w:val="21"/>
              </w:rPr>
              <w:t>，拟定了审核实施表，明确了内审范围，内审人员经培训合格上岗，能力满足要求，未出现审核本部门情况，内审</w:t>
            </w:r>
            <w:r>
              <w:rPr>
                <w:rFonts w:hint="eastAsia" w:ascii="宋体" w:hAnsi="宋体"/>
                <w:szCs w:val="21"/>
                <w:highlight w:val="none"/>
              </w:rPr>
              <w:t>不符合项</w:t>
            </w:r>
            <w:r>
              <w:rPr>
                <w:rFonts w:hint="eastAsia" w:ascii="宋体" w:hAnsi="宋体"/>
                <w:szCs w:val="21"/>
                <w:highlight w:val="none"/>
                <w:lang w:val="en-US" w:eastAsia="zh-CN"/>
              </w:rPr>
              <w:t>1</w:t>
            </w:r>
            <w:r>
              <w:rPr>
                <w:rFonts w:hint="eastAsia" w:ascii="宋体" w:hAnsi="宋体"/>
                <w:szCs w:val="21"/>
                <w:highlight w:val="none"/>
              </w:rPr>
              <w:t>项，已及时采取纠正措施后，经内审员验证关闭。内审的有效性需要改善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1"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4.管理评审（管理评审体系变更需求，纠正和预防措施、体系有效性等）</w:t>
            </w:r>
          </w:p>
          <w:p>
            <w:pPr>
              <w:spacing w:line="240" w:lineRule="exact"/>
              <w:rPr>
                <w:b/>
                <w:color w:val="000000" w:themeColor="text1"/>
                <w:sz w:val="20"/>
                <w:szCs w:val="20"/>
              </w:rPr>
            </w:pPr>
          </w:p>
          <w:p>
            <w:pPr>
              <w:spacing w:line="240" w:lineRule="exact"/>
              <w:rPr>
                <w:rFonts w:ascii="宋体" w:hAnsi="宋体"/>
                <w:b/>
                <w:sz w:val="21"/>
                <w:szCs w:val="21"/>
              </w:rPr>
            </w:pPr>
            <w:r>
              <w:rPr>
                <w:rFonts w:hint="eastAsia" w:ascii="宋体" w:hAnsi="宋体" w:cs="宋体"/>
                <w:szCs w:val="21"/>
              </w:rPr>
              <w:t>管理评审频次为一年一次、本次管理评审于</w:t>
            </w:r>
            <w:r>
              <w:rPr>
                <w:rFonts w:hint="eastAsia" w:ascii="宋体" w:hAnsi="宋体"/>
                <w:szCs w:val="21"/>
              </w:rPr>
              <w:t>20</w:t>
            </w:r>
            <w:r>
              <w:rPr>
                <w:rFonts w:hint="eastAsia" w:ascii="宋体" w:hAnsi="宋体"/>
                <w:szCs w:val="21"/>
                <w:lang w:val="en-US" w:eastAsia="zh-CN"/>
              </w:rPr>
              <w:t>21</w:t>
            </w:r>
            <w:r>
              <w:rPr>
                <w:rFonts w:hint="eastAsia" w:ascii="宋体" w:hAnsi="宋体"/>
                <w:szCs w:val="21"/>
              </w:rPr>
              <w:t>年</w:t>
            </w:r>
            <w:r>
              <w:rPr>
                <w:rFonts w:hint="eastAsia" w:ascii="宋体" w:hAnsi="宋体"/>
                <w:szCs w:val="21"/>
                <w:lang w:val="en-US" w:eastAsia="zh-CN"/>
              </w:rPr>
              <w:t>4</w:t>
            </w:r>
            <w:r>
              <w:rPr>
                <w:rFonts w:hint="eastAsia" w:ascii="宋体" w:hAnsi="宋体"/>
                <w:szCs w:val="21"/>
              </w:rPr>
              <w:t>月</w:t>
            </w:r>
            <w:r>
              <w:rPr>
                <w:rFonts w:hint="eastAsia" w:ascii="宋体" w:hAnsi="宋体"/>
                <w:szCs w:val="21"/>
                <w:lang w:val="en-US" w:eastAsia="zh-CN"/>
              </w:rPr>
              <w:t>20</w:t>
            </w:r>
            <w:r>
              <w:rPr>
                <w:rFonts w:hint="eastAsia" w:ascii="宋体" w:hAnsi="宋体"/>
                <w:szCs w:val="21"/>
              </w:rPr>
              <w:t>日</w:t>
            </w:r>
            <w:r>
              <w:rPr>
                <w:rFonts w:hint="eastAsia" w:ascii="宋体" w:hAnsi="宋体" w:cs="宋体"/>
                <w:szCs w:val="21"/>
              </w:rPr>
              <w:t>由总经理主持完成、提供主要输入材料有各部门总结，输入信息基本充分和满足要求。输出见“管理评审报告”, 做出了管理体系基本适宜、充分和有效的评审结论。管理评审的输出不具体，需要改善。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4" w:hRule="atLeast"/>
          <w:jc w:val="center"/>
        </w:trPr>
        <w:tc>
          <w:tcPr>
            <w:tcW w:w="720" w:type="dxa"/>
            <w:vMerge w:val="continue"/>
            <w:vAlign w:val="center"/>
          </w:tcPr>
          <w:p>
            <w:pPr>
              <w:spacing w:line="240" w:lineRule="exact"/>
              <w:jc w:val="center"/>
              <w:rPr>
                <w:b/>
                <w:sz w:val="20"/>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5.  EMS是否按规定对主要污染物（污水、废气、噪声等）及排放实施了例行的监视或测量，结果是否满足相关要求？</w:t>
            </w:r>
          </w:p>
          <w:p>
            <w:pPr>
              <w:spacing w:line="240" w:lineRule="exact"/>
              <w:rPr>
                <w:b/>
                <w:color w:val="000000" w:themeColor="text1"/>
                <w:sz w:val="20"/>
                <w:szCs w:val="20"/>
              </w:rPr>
            </w:pPr>
          </w:p>
          <w:p>
            <w:pPr>
              <w:spacing w:line="240" w:lineRule="exact"/>
              <w:rPr>
                <w:rFonts w:ascii="宋体" w:hAnsi="宋体"/>
                <w:b/>
                <w:sz w:val="21"/>
                <w:szCs w:val="21"/>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17" w:hRule="atLeast"/>
          <w:jc w:val="center"/>
        </w:trPr>
        <w:tc>
          <w:tcPr>
            <w:tcW w:w="720" w:type="dxa"/>
            <w:vMerge w:val="continue"/>
            <w:vAlign w:val="center"/>
          </w:tcPr>
          <w:p>
            <w:pPr>
              <w:spacing w:line="240" w:lineRule="exact"/>
              <w:jc w:val="center"/>
              <w:rPr>
                <w:b/>
                <w:sz w:val="20"/>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 xml:space="preserve">国家/地方环保部门监测结果、新改扩建项目符合环评报告、三同时验收报告要求情况及措施 </w:t>
            </w:r>
          </w:p>
          <w:p>
            <w:pPr>
              <w:spacing w:line="240" w:lineRule="exact"/>
              <w:rPr>
                <w:b/>
                <w:color w:val="000000" w:themeColor="text1"/>
                <w:sz w:val="20"/>
                <w:szCs w:val="20"/>
              </w:rPr>
            </w:pPr>
          </w:p>
          <w:p>
            <w:pPr>
              <w:spacing w:line="240" w:lineRule="exact"/>
              <w:rPr>
                <w:rFonts w:ascii="宋体" w:hAnsi="宋体"/>
                <w:b/>
                <w:sz w:val="21"/>
                <w:szCs w:val="21"/>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87" w:hRule="atLeast"/>
          <w:jc w:val="center"/>
        </w:trPr>
        <w:tc>
          <w:tcPr>
            <w:tcW w:w="720" w:type="dxa"/>
            <w:vMerge w:val="continue"/>
            <w:vAlign w:val="center"/>
          </w:tcPr>
          <w:p>
            <w:pPr>
              <w:spacing w:line="240" w:lineRule="exact"/>
              <w:jc w:val="center"/>
              <w:rPr>
                <w:b/>
                <w:sz w:val="20"/>
              </w:rPr>
            </w:pPr>
          </w:p>
        </w:tc>
        <w:tc>
          <w:tcPr>
            <w:tcW w:w="9198" w:type="dxa"/>
            <w:vAlign w:val="top"/>
          </w:tcPr>
          <w:p>
            <w:pPr>
              <w:spacing w:line="300" w:lineRule="exact"/>
              <w:rPr>
                <w:b/>
                <w:color w:val="000000" w:themeColor="text1"/>
                <w:sz w:val="20"/>
                <w:szCs w:val="20"/>
              </w:rPr>
            </w:pPr>
            <w:r>
              <w:rPr>
                <w:rFonts w:hint="eastAsia"/>
                <w:b/>
                <w:color w:val="000000" w:themeColor="text1"/>
                <w:sz w:val="20"/>
                <w:szCs w:val="20"/>
              </w:rPr>
              <w:t>7. OHSMS是否按规定对职业健康安全项目进行定期测量，结果是否满足相关要求：</w:t>
            </w:r>
          </w:p>
          <w:p>
            <w:pPr>
              <w:spacing w:line="300" w:lineRule="exact"/>
              <w:rPr>
                <w:b/>
                <w:color w:val="000000" w:themeColor="text1"/>
                <w:sz w:val="20"/>
                <w:szCs w:val="20"/>
              </w:rPr>
            </w:pPr>
          </w:p>
          <w:p>
            <w:pPr>
              <w:spacing w:line="240" w:lineRule="exact"/>
              <w:rPr>
                <w:rFonts w:ascii="宋体" w:hAnsi="宋体"/>
                <w:b/>
                <w:sz w:val="21"/>
                <w:szCs w:val="21"/>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2" w:hRule="atLeast"/>
          <w:jc w:val="center"/>
        </w:trPr>
        <w:tc>
          <w:tcPr>
            <w:tcW w:w="720" w:type="dxa"/>
            <w:vMerge w:val="continue"/>
            <w:vAlign w:val="center"/>
          </w:tcPr>
          <w:p>
            <w:pPr>
              <w:spacing w:line="240" w:lineRule="exact"/>
              <w:jc w:val="center"/>
              <w:rPr>
                <w:b/>
                <w:sz w:val="20"/>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8.OHSMS国家/地方职业健康安全部门监督检查情况及措施</w:t>
            </w:r>
          </w:p>
          <w:p>
            <w:pPr>
              <w:spacing w:line="240" w:lineRule="exact"/>
              <w:rPr>
                <w:b/>
                <w:color w:val="000000" w:themeColor="text1"/>
                <w:sz w:val="20"/>
                <w:szCs w:val="20"/>
              </w:rPr>
            </w:pPr>
          </w:p>
          <w:p>
            <w:pPr>
              <w:spacing w:line="240" w:lineRule="exact"/>
              <w:rPr>
                <w:rFonts w:ascii="宋体" w:hAnsi="宋体"/>
                <w:b/>
                <w:sz w:val="21"/>
                <w:szCs w:val="21"/>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20" w:type="dxa"/>
            <w:vMerge w:val="continue"/>
            <w:vAlign w:val="center"/>
          </w:tcPr>
          <w:p>
            <w:pPr>
              <w:spacing w:line="240" w:lineRule="exact"/>
              <w:jc w:val="center"/>
              <w:rPr>
                <w:b/>
                <w:sz w:val="20"/>
              </w:rPr>
            </w:pPr>
          </w:p>
        </w:tc>
        <w:tc>
          <w:tcPr>
            <w:tcW w:w="9198" w:type="dxa"/>
            <w:vAlign w:val="top"/>
          </w:tcPr>
          <w:p>
            <w:pPr>
              <w:widowControl/>
              <w:spacing w:line="240" w:lineRule="exact"/>
              <w:rPr>
                <w:b/>
                <w:color w:val="000000" w:themeColor="text1"/>
                <w:sz w:val="20"/>
                <w:szCs w:val="20"/>
              </w:rPr>
            </w:pPr>
            <w:r>
              <w:rPr>
                <w:rFonts w:hint="eastAsia"/>
                <w:b/>
                <w:color w:val="000000" w:themeColor="text1"/>
                <w:sz w:val="20"/>
                <w:szCs w:val="20"/>
              </w:rPr>
              <w:t>9. 其他能够标明组织绩效、信誉的证据/信息：</w:t>
            </w:r>
          </w:p>
          <w:p>
            <w:pPr>
              <w:widowControl/>
              <w:spacing w:line="240" w:lineRule="exact"/>
              <w:rPr>
                <w:rFonts w:ascii="宋体" w:hAnsi="宋体"/>
                <w:b/>
                <w:sz w:val="21"/>
                <w:szCs w:val="21"/>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0" w:hRule="atLeast"/>
          <w:jc w:val="center"/>
        </w:trPr>
        <w:tc>
          <w:tcPr>
            <w:tcW w:w="720" w:type="dxa"/>
            <w:vMerge w:val="restart"/>
            <w:vAlign w:val="center"/>
          </w:tcPr>
          <w:p>
            <w:pPr>
              <w:spacing w:line="240" w:lineRule="exact"/>
              <w:ind w:left="113" w:right="113"/>
              <w:jc w:val="center"/>
              <w:rPr>
                <w:rFonts w:ascii="宋体" w:hAnsi="宋体"/>
                <w:b/>
                <w:szCs w:val="21"/>
              </w:rPr>
            </w:pPr>
            <w:r>
              <w:rPr>
                <w:rFonts w:hint="eastAsia" w:ascii="宋体" w:hAnsi="宋体"/>
                <w:b/>
                <w:szCs w:val="21"/>
              </w:rPr>
              <w:t>(五)持</w:t>
            </w:r>
          </w:p>
          <w:p>
            <w:pPr>
              <w:spacing w:line="240" w:lineRule="exact"/>
              <w:ind w:left="113" w:right="113"/>
              <w:jc w:val="center"/>
              <w:rPr>
                <w:rFonts w:ascii="宋体" w:hAnsi="宋体"/>
                <w:b/>
                <w:szCs w:val="21"/>
              </w:rPr>
            </w:pPr>
            <w:r>
              <w:rPr>
                <w:rFonts w:hint="eastAsia" w:ascii="宋体" w:hAnsi="宋体"/>
                <w:b/>
                <w:szCs w:val="21"/>
              </w:rPr>
              <w:t>续</w:t>
            </w:r>
          </w:p>
          <w:p>
            <w:pPr>
              <w:spacing w:line="240" w:lineRule="exact"/>
              <w:ind w:left="113" w:right="113"/>
              <w:jc w:val="center"/>
              <w:rPr>
                <w:rFonts w:ascii="宋体" w:hAnsi="宋体"/>
                <w:b/>
                <w:szCs w:val="21"/>
              </w:rPr>
            </w:pPr>
            <w:r>
              <w:rPr>
                <w:rFonts w:hint="eastAsia" w:ascii="宋体" w:hAnsi="宋体"/>
                <w:b/>
                <w:szCs w:val="21"/>
              </w:rPr>
              <w:t>改</w:t>
            </w:r>
          </w:p>
          <w:p>
            <w:pPr>
              <w:spacing w:line="240" w:lineRule="exact"/>
              <w:ind w:left="113" w:right="113"/>
              <w:jc w:val="center"/>
              <w:rPr>
                <w:b/>
                <w:sz w:val="20"/>
              </w:rPr>
            </w:pPr>
            <w:r>
              <w:rPr>
                <w:rFonts w:hint="eastAsia" w:ascii="宋体" w:hAnsi="宋体"/>
                <w:b/>
                <w:szCs w:val="21"/>
              </w:rPr>
              <w:t>进</w:t>
            </w:r>
          </w:p>
        </w:tc>
        <w:tc>
          <w:tcPr>
            <w:tcW w:w="9198" w:type="dxa"/>
            <w:vAlign w:val="top"/>
          </w:tcPr>
          <w:p>
            <w:pPr>
              <w:spacing w:line="240" w:lineRule="exact"/>
              <w:rPr>
                <w:b/>
                <w:color w:val="000000" w:themeColor="text1"/>
                <w:sz w:val="20"/>
                <w:szCs w:val="20"/>
              </w:rPr>
            </w:pPr>
            <w:r>
              <w:rPr>
                <w:rFonts w:hint="eastAsia"/>
                <w:b/>
                <w:color w:val="000000" w:themeColor="text1"/>
                <w:sz w:val="20"/>
                <w:szCs w:val="20"/>
              </w:rPr>
              <w:t>1 纠正/预防措施的实施及效果</w:t>
            </w:r>
            <w:r>
              <w:rPr>
                <w:rFonts w:hint="eastAsia"/>
                <w:b/>
                <w:color w:val="000000" w:themeColor="text1"/>
                <w:spacing w:val="-8"/>
                <w:sz w:val="20"/>
                <w:szCs w:val="20"/>
              </w:rPr>
              <w:t>;</w:t>
            </w:r>
          </w:p>
          <w:p>
            <w:pPr>
              <w:spacing w:line="240" w:lineRule="exact"/>
              <w:rPr>
                <w:b/>
                <w:color w:val="000000" w:themeColor="text1"/>
                <w:sz w:val="20"/>
                <w:szCs w:val="20"/>
              </w:rPr>
            </w:pPr>
          </w:p>
          <w:p>
            <w:pPr>
              <w:spacing w:line="240" w:lineRule="exact"/>
              <w:rPr>
                <w:rFonts w:ascii="宋体" w:hAnsi="宋体"/>
                <w:b/>
                <w:sz w:val="21"/>
                <w:szCs w:val="21"/>
              </w:rPr>
            </w:pPr>
            <w:r>
              <w:rPr>
                <w:rFonts w:hint="eastAsia" w:ascii="宋体" w:hAnsi="宋体" w:cs="宋体"/>
                <w:color w:val="000000" w:themeColor="text1"/>
              </w:rPr>
              <w:t>公司明确通过对内、外审核结果、管理评审输出、监测和测量等活动中识别出</w:t>
            </w:r>
            <w:r>
              <w:rPr>
                <w:rFonts w:hint="eastAsia" w:ascii="宋体" w:hAnsi="宋体"/>
                <w:color w:val="000000" w:themeColor="text1"/>
              </w:rPr>
              <w:t>在产品/服务、过程、管理体系等方面</w:t>
            </w:r>
            <w:r>
              <w:rPr>
                <w:rFonts w:hint="eastAsia" w:ascii="宋体" w:hAnsi="宋体" w:cs="宋体"/>
                <w:color w:val="000000" w:themeColor="text1"/>
              </w:rPr>
              <w:t>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w:t>
            </w:r>
            <w:r>
              <w:rPr>
                <w:rFonts w:hint="eastAsia" w:ascii="宋体" w:hAnsi="宋体"/>
                <w:szCs w:val="21"/>
              </w:rPr>
              <w:t>纠正措施的有效性需要改善。</w:t>
            </w:r>
            <w:r>
              <w:rPr>
                <w:rFonts w:hint="eastAsia"/>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2.</w:t>
            </w:r>
            <w:r>
              <w:rPr>
                <w:rFonts w:hint="eastAsia" w:ascii="宋体" w:hAnsi="宋体"/>
                <w:b/>
                <w:sz w:val="21"/>
                <w:szCs w:val="21"/>
              </w:rPr>
              <w:t>（上次审核后）重大事故、顾客</w:t>
            </w:r>
            <w:r>
              <w:rPr>
                <w:rFonts w:ascii="宋体" w:hAnsi="宋体"/>
                <w:b/>
                <w:sz w:val="21"/>
                <w:szCs w:val="21"/>
              </w:rPr>
              <w:t>/</w:t>
            </w:r>
            <w:r>
              <w:rPr>
                <w:rFonts w:hint="eastAsia" w:ascii="宋体" w:hAnsi="宋体"/>
                <w:b/>
                <w:sz w:val="21"/>
                <w:szCs w:val="21"/>
              </w:rPr>
              <w:t>相关方投诉：</w:t>
            </w:r>
          </w:p>
          <w:p>
            <w:pPr>
              <w:spacing w:line="240" w:lineRule="exact"/>
              <w:rPr>
                <w:rFonts w:ascii="宋体" w:hAnsi="宋体"/>
                <w:b/>
                <w:sz w:val="21"/>
                <w:szCs w:val="21"/>
              </w:rPr>
            </w:pPr>
          </w:p>
          <w:p>
            <w:pPr>
              <w:spacing w:line="240" w:lineRule="exact"/>
              <w:rPr>
                <w:rFonts w:hint="eastAsia" w:ascii="宋体" w:hAnsi="宋体" w:eastAsia="宋体"/>
                <w:b/>
                <w:sz w:val="21"/>
                <w:szCs w:val="21"/>
                <w:lang w:val="en-US" w:eastAsia="zh-CN"/>
              </w:rPr>
            </w:pPr>
            <w:r>
              <w:rPr>
                <w:rFonts w:hint="eastAsia" w:ascii="宋体" w:hAnsi="宋体"/>
                <w:b/>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hint="default" w:ascii="宋体" w:hAnsi="宋体" w:eastAsia="宋体"/>
                <w:b/>
                <w:sz w:val="21"/>
                <w:szCs w:val="21"/>
                <w:lang w:val="en-US" w:eastAsia="zh-CN"/>
              </w:rPr>
            </w:pPr>
            <w:r>
              <w:rPr>
                <w:rFonts w:ascii="宋体" w:hAnsi="宋体"/>
                <w:b/>
                <w:sz w:val="21"/>
                <w:szCs w:val="21"/>
              </w:rPr>
              <w:t xml:space="preserve">3. </w:t>
            </w:r>
            <w:r>
              <w:rPr>
                <w:rFonts w:hint="eastAsia" w:ascii="宋体" w:hAnsi="宋体"/>
                <w:b/>
                <w:sz w:val="21"/>
                <w:szCs w:val="21"/>
              </w:rPr>
              <w:t>创新情况</w:t>
            </w:r>
            <w:r>
              <w:rPr>
                <w:rFonts w:hint="eastAsia" w:ascii="宋体" w:hAnsi="宋体"/>
                <w:b/>
                <w:sz w:val="21"/>
                <w:szCs w:val="21"/>
                <w:lang w:eastAsia="zh-CN"/>
              </w:rPr>
              <w:t>：</w:t>
            </w:r>
            <w:r>
              <w:rPr>
                <w:rFonts w:hint="eastAsia" w:ascii="宋体" w:hAnsi="宋体"/>
                <w:b/>
                <w:sz w:val="21"/>
                <w:szCs w:val="21"/>
                <w:lang w:val="en-US" w:eastAsia="zh-CN"/>
              </w:rPr>
              <w:t>无创新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hint="default" w:ascii="宋体" w:hAnsi="宋体" w:eastAsia="宋体"/>
                <w:b/>
                <w:sz w:val="21"/>
                <w:szCs w:val="21"/>
                <w:lang w:val="en-US" w:eastAsia="zh-CN"/>
              </w:rPr>
            </w:pPr>
            <w:r>
              <w:rPr>
                <w:rFonts w:ascii="宋体" w:hAnsi="宋体"/>
                <w:b/>
                <w:sz w:val="21"/>
                <w:szCs w:val="21"/>
              </w:rPr>
              <w:t xml:space="preserve">4. </w:t>
            </w:r>
            <w:r>
              <w:rPr>
                <w:rFonts w:hint="eastAsia" w:ascii="宋体" w:hAnsi="宋体"/>
                <w:b/>
                <w:sz w:val="21"/>
                <w:szCs w:val="21"/>
              </w:rPr>
              <w:t>上次不符合的整改情况</w:t>
            </w:r>
            <w:r>
              <w:rPr>
                <w:rFonts w:hint="eastAsia" w:ascii="宋体" w:hAnsi="宋体"/>
                <w:b/>
                <w:sz w:val="21"/>
                <w:szCs w:val="21"/>
                <w:lang w:eastAsia="zh-CN"/>
              </w:rPr>
              <w:t>：</w:t>
            </w:r>
            <w:r>
              <w:rPr>
                <w:rFonts w:hint="eastAsia" w:ascii="宋体" w:hAnsi="宋体"/>
                <w:b/>
                <w:sz w:val="21"/>
                <w:szCs w:val="21"/>
                <w:lang w:val="en-US" w:eastAsia="zh-CN"/>
              </w:rPr>
              <w:t>上次无书面不符合</w:t>
            </w:r>
          </w:p>
        </w:tc>
      </w:tr>
    </w:tbl>
    <w:p>
      <w:pPr>
        <w:tabs>
          <w:tab w:val="left" w:pos="645"/>
        </w:tabs>
        <w:spacing w:after="163" w:afterLines="50" w:line="360" w:lineRule="exact"/>
        <w:rPr>
          <w:b/>
          <w:sz w:val="26"/>
          <w:szCs w:val="26"/>
        </w:rPr>
      </w:pPr>
    </w:p>
    <w:p>
      <w:pPr>
        <w:tabs>
          <w:tab w:val="left" w:pos="645"/>
        </w:tabs>
        <w:spacing w:after="163" w:afterLines="50" w:line="360" w:lineRule="exact"/>
        <w:rPr>
          <w:b/>
          <w:sz w:val="16"/>
          <w:szCs w:val="16"/>
        </w:rPr>
      </w:pPr>
      <w:r>
        <w:rPr>
          <w:rFonts w:hint="eastAsia"/>
          <w:b/>
          <w:sz w:val="26"/>
          <w:szCs w:val="26"/>
        </w:rPr>
        <w:t>七、其它需要说明的问题</w:t>
      </w:r>
    </w:p>
    <w:p>
      <w:pPr>
        <w:snapToGrid w:val="0"/>
        <w:spacing w:line="360" w:lineRule="auto"/>
        <w:ind w:left="-211" w:leftChars="-88" w:firstLine="493" w:firstLineChars="223"/>
        <w:rPr>
          <w:rFonts w:hint="eastAsia" w:ascii="宋体" w:eastAsia="宋体"/>
          <w:b/>
          <w:szCs w:val="21"/>
          <w:lang w:val="en-US" w:eastAsia="zh-CN"/>
        </w:rPr>
      </w:pPr>
      <w:r>
        <w:rPr>
          <w:rFonts w:hint="eastAsia"/>
          <w:b/>
          <w:spacing w:val="-10"/>
          <w:szCs w:val="21"/>
          <w:lang w:eastAsia="zh-CN"/>
        </w:rPr>
        <w:t>☑</w:t>
      </w:r>
      <w:r>
        <w:rPr>
          <w:rFonts w:hint="eastAsia" w:ascii="宋体" w:hAnsi="宋体"/>
          <w:b/>
          <w:szCs w:val="21"/>
        </w:rPr>
        <w:t>可能影响本次审核结论可靠性的因素：</w:t>
      </w:r>
      <w:r>
        <w:rPr>
          <w:rFonts w:hint="eastAsia" w:ascii="宋体" w:hAnsi="宋体"/>
          <w:b/>
          <w:szCs w:val="21"/>
          <w:lang w:val="en-US" w:eastAsia="zh-CN"/>
        </w:rPr>
        <w:t>无</w:t>
      </w:r>
    </w:p>
    <w:tbl>
      <w:tblPr>
        <w:tblStyle w:val="6"/>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3"/>
        <w:gridCol w:w="4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537" w:firstLineChars="223"/>
              <w:rPr>
                <w:b/>
                <w:spacing w:val="-10"/>
                <w:szCs w:val="21"/>
              </w:rPr>
            </w:pPr>
            <w:r>
              <w:rPr>
                <w:rFonts w:hint="eastAsia" w:ascii="宋体" w:hAnsi="宋体"/>
                <w:b/>
                <w:szCs w:val="21"/>
              </w:rPr>
              <w:t>影响本次审核结论可靠性的因素</w:t>
            </w:r>
          </w:p>
        </w:tc>
        <w:tc>
          <w:tcPr>
            <w:tcW w:w="4712" w:type="dxa"/>
          </w:tcPr>
          <w:p>
            <w:pPr>
              <w:snapToGrid w:val="0"/>
              <w:spacing w:line="360" w:lineRule="auto"/>
              <w:ind w:left="-211" w:leftChars="-88" w:firstLine="537" w:firstLineChars="223"/>
              <w:rPr>
                <w:rFonts w:ascii="宋体"/>
                <w:b/>
                <w:szCs w:val="21"/>
              </w:rPr>
            </w:pPr>
            <w:r>
              <w:rPr>
                <w:rFonts w:hint="eastAsia" w:ascii="宋体" w:hAnsi="宋体"/>
                <w:b/>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szCs w:val="21"/>
              </w:rPr>
            </w:pPr>
            <w:r>
              <w:rPr>
                <w:rFonts w:hint="eastAsia"/>
                <w:b/>
                <w:spacing w:val="-10"/>
                <w:szCs w:val="21"/>
              </w:rPr>
              <w:t>□</w:t>
            </w:r>
            <w:r>
              <w:rPr>
                <w:rFonts w:hint="eastAsia" w:ascii="宋体" w:hAnsi="宋体"/>
                <w:b/>
                <w:szCs w:val="21"/>
              </w:rPr>
              <w:t>样本量不足</w:t>
            </w:r>
          </w:p>
        </w:tc>
        <w:tc>
          <w:tcPr>
            <w:tcW w:w="4712" w:type="dxa"/>
          </w:tcPr>
          <w:p>
            <w:pPr>
              <w:snapToGrid w:val="0"/>
              <w:spacing w:line="360" w:lineRule="auto"/>
              <w:ind w:left="-211" w:leftChars="-88" w:firstLine="537" w:firstLineChars="223"/>
              <w:rPr>
                <w:rFonts w:asci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知识产权保护</w:t>
            </w:r>
          </w:p>
        </w:tc>
        <w:tc>
          <w:tcPr>
            <w:tcW w:w="4712" w:type="dxa"/>
          </w:tcPr>
          <w:p>
            <w:pPr>
              <w:snapToGrid w:val="0"/>
              <w:spacing w:line="360" w:lineRule="auto"/>
              <w:ind w:left="-211" w:leftChars="-88" w:firstLine="537" w:firstLineChars="223"/>
              <w:rPr>
                <w:rFonts w:ascii="宋体"/>
                <w:b/>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因受审核方信息造成的日数或审核资源不足</w:t>
            </w:r>
          </w:p>
        </w:tc>
        <w:tc>
          <w:tcPr>
            <w:tcW w:w="4712" w:type="dxa"/>
          </w:tcPr>
          <w:p>
            <w:pPr>
              <w:snapToGrid w:val="0"/>
              <w:spacing w:line="360" w:lineRule="auto"/>
              <w:ind w:left="-211" w:leftChars="-88" w:firstLine="537" w:firstLineChars="223"/>
              <w:rPr>
                <w:rFonts w:ascii="宋体"/>
                <w:b/>
                <w:color w:val="FF0000"/>
                <w:szCs w:val="21"/>
              </w:rPr>
            </w:pPr>
          </w:p>
        </w:tc>
      </w:tr>
    </w:tbl>
    <w:p>
      <w:pPr>
        <w:snapToGrid w:val="0"/>
        <w:spacing w:line="360" w:lineRule="auto"/>
        <w:ind w:left="-211" w:leftChars="-88" w:firstLine="493" w:firstLineChars="223"/>
        <w:rPr>
          <w:b/>
          <w:spacing w:val="-10"/>
          <w:szCs w:val="21"/>
        </w:rPr>
      </w:pPr>
    </w:p>
    <w:p>
      <w:pPr>
        <w:snapToGrid w:val="0"/>
        <w:spacing w:line="360" w:lineRule="auto"/>
        <w:ind w:left="-211" w:leftChars="-88" w:firstLine="493" w:firstLineChars="223"/>
        <w:rPr>
          <w:rFonts w:ascii="宋体"/>
          <w:b/>
          <w:szCs w:val="21"/>
        </w:rPr>
      </w:pPr>
      <w:r>
        <w:rPr>
          <w:rFonts w:hint="eastAsia"/>
          <w:b/>
          <w:spacing w:val="-10"/>
          <w:szCs w:val="21"/>
          <w:lang w:eastAsia="zh-CN"/>
        </w:rPr>
        <w:t>☑</w:t>
      </w:r>
      <w:r>
        <w:rPr>
          <w:rFonts w:hint="eastAsia" w:ascii="宋体" w:hAnsi="宋体"/>
          <w:b/>
          <w:szCs w:val="21"/>
        </w:rPr>
        <w:t>达到审核目的</w:t>
      </w:r>
    </w:p>
    <w:p>
      <w:pPr>
        <w:snapToGrid w:val="0"/>
        <w:spacing w:line="360" w:lineRule="auto"/>
        <w:ind w:left="-211" w:leftChars="-88" w:firstLine="493" w:firstLineChars="223"/>
        <w:rPr>
          <w:rFonts w:ascii="宋体"/>
          <w:b/>
          <w:szCs w:val="21"/>
        </w:rPr>
      </w:pPr>
      <w:r>
        <w:rPr>
          <w:rFonts w:hint="eastAsia"/>
          <w:b/>
          <w:spacing w:val="-10"/>
          <w:szCs w:val="21"/>
        </w:rPr>
        <w:t>□未</w:t>
      </w:r>
      <w:r>
        <w:rPr>
          <w:rFonts w:hint="eastAsia" w:ascii="宋体" w:hAnsi="宋体"/>
          <w:b/>
          <w:szCs w:val="21"/>
        </w:rPr>
        <w:t>达到审核目的，未达到目的的原因是：</w:t>
      </w:r>
    </w:p>
    <w:p>
      <w:pPr>
        <w:tabs>
          <w:tab w:val="left" w:pos="645"/>
        </w:tabs>
        <w:spacing w:before="163" w:beforeLines="50" w:after="163" w:afterLines="50" w:line="360" w:lineRule="exact"/>
        <w:rPr>
          <w:b/>
          <w:sz w:val="16"/>
          <w:szCs w:val="16"/>
        </w:rPr>
      </w:pPr>
      <w:r>
        <w:rPr>
          <w:rFonts w:hint="eastAsia"/>
          <w:b/>
          <w:sz w:val="26"/>
          <w:szCs w:val="26"/>
        </w:rPr>
        <w:t>八、本次审核不符合项</w:t>
      </w:r>
    </w:p>
    <w:p>
      <w:pPr>
        <w:spacing w:line="400" w:lineRule="exact"/>
        <w:ind w:left="420" w:leftChars="175" w:firstLine="101" w:firstLineChars="42"/>
        <w:rPr>
          <w:rFonts w:ascii="宋体" w:hAnsi="宋体"/>
          <w:b/>
          <w:szCs w:val="21"/>
        </w:rPr>
      </w:pPr>
      <w:r>
        <w:rPr>
          <w:rFonts w:hint="eastAsia" w:ascii="宋体" w:hAnsi="宋体"/>
          <w:b/>
          <w:szCs w:val="21"/>
        </w:rPr>
        <w:t>本次审核共开具不符合项报告项；其中</w:t>
      </w:r>
      <w:r>
        <w:rPr>
          <w:rFonts w:ascii="宋体" w:hAnsi="宋体"/>
          <w:b/>
          <w:szCs w:val="21"/>
        </w:rPr>
        <w:pict>
          <v:line id="直接连接符 1" o:spid="_x0000_s2051" o:spt="20" style="position:absolute;left:0pt;margin-left:210pt;margin-top:16.2pt;height:0pt;width:0.05pt;z-index:251659264;mso-width-relative:page;mso-height-relative:page;" coordsize="21600,21600" o:allowincell="f">
            <v:path arrowok="t"/>
            <v:fill focussize="0,0"/>
            <v:stroke/>
            <v:imagedata o:title=""/>
            <o:lock v:ext="edit"/>
          </v:line>
        </w:pict>
      </w:r>
      <w:r>
        <w:rPr>
          <w:rFonts w:hint="eastAsia" w:ascii="宋体" w:hAnsi="宋体"/>
          <w:b/>
          <w:szCs w:val="21"/>
        </w:rPr>
        <w:t>严重不符合项，一般不符合项，观察项项分布在部门条款，见不符合项分布表。（</w:t>
      </w:r>
      <w:r>
        <w:rPr>
          <w:rFonts w:ascii="宋体" w:hAnsi="宋体"/>
          <w:b/>
          <w:szCs w:val="21"/>
        </w:rPr>
        <w:t>Q/J/E/S</w:t>
      </w:r>
      <w:r>
        <w:rPr>
          <w:rFonts w:hint="eastAsia" w:ascii="宋体" w:hAnsi="宋体"/>
          <w:b/>
          <w:szCs w:val="21"/>
        </w:rPr>
        <w:t>分开填写）</w:t>
      </w:r>
    </w:p>
    <w:p>
      <w:pPr>
        <w:tabs>
          <w:tab w:val="left" w:pos="645"/>
        </w:tabs>
        <w:spacing w:after="163" w:afterLines="50" w:line="360" w:lineRule="exact"/>
        <w:rPr>
          <w:b/>
          <w:sz w:val="16"/>
          <w:szCs w:val="16"/>
        </w:rPr>
      </w:pPr>
      <w:r>
        <w:rPr>
          <w:rFonts w:hint="eastAsia"/>
          <w:b/>
          <w:sz w:val="26"/>
          <w:szCs w:val="26"/>
        </w:rPr>
        <w:t>九、审核结论</w:t>
      </w:r>
    </w:p>
    <w:tbl>
      <w:tblPr>
        <w:tblStyle w:val="6"/>
        <w:tblW w:w="95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523" w:type="dxa"/>
            <w:vAlign w:val="center"/>
          </w:tcPr>
          <w:p>
            <w:pPr>
              <w:ind w:left="240" w:leftChars="100" w:firstLine="120" w:firstLineChars="50"/>
              <w:jc w:val="left"/>
            </w:pPr>
            <w:r>
              <w:t>1.</w:t>
            </w:r>
            <w:r>
              <w:rPr>
                <w:rFonts w:hint="eastAsia"/>
                <w:lang w:eastAsia="zh-CN"/>
              </w:rPr>
              <w:t>☑</w:t>
            </w:r>
            <w:r>
              <w:t>QMS</w:t>
            </w:r>
            <w:r>
              <w:rPr>
                <w:rFonts w:hint="eastAsia"/>
              </w:rPr>
              <w:t>□50430</w:t>
            </w:r>
            <w:r>
              <w:rPr>
                <w:rFonts w:hint="eastAsia"/>
                <w:lang w:eastAsia="zh-CN"/>
              </w:rPr>
              <w:t>☑</w:t>
            </w:r>
            <w:r>
              <w:t xml:space="preserve">EMS  </w:t>
            </w:r>
            <w:r>
              <w:rPr>
                <w:rFonts w:hint="eastAsia"/>
                <w:lang w:eastAsia="zh-CN"/>
              </w:rPr>
              <w:t>☑</w:t>
            </w:r>
            <w:r>
              <w:t>OHSMS</w:t>
            </w:r>
          </w:p>
          <w:p>
            <w:pPr>
              <w:spacing w:line="280" w:lineRule="exact"/>
            </w:pPr>
            <w:r>
              <w:rPr>
                <w:rFonts w:hint="eastAsia"/>
              </w:rPr>
              <w:t>的适宜性、充分性、运行有效性，自我完善机制等，管理体系满足适用要求和实现预期结果的能力。</w:t>
            </w:r>
          </w:p>
          <w:p>
            <w:pPr>
              <w:spacing w:line="280" w:lineRule="exact"/>
              <w:ind w:left="331" w:leftChars="88" w:hanging="120" w:hangingChars="50"/>
            </w:pPr>
            <w:r>
              <w:t>(</w:t>
            </w:r>
            <w:r>
              <w:rPr>
                <w:rFonts w:hint="eastAsia"/>
              </w:rPr>
              <w:t>描述组织的管理体系在认证周期内持续对过程控制的情况，持续满足标准要求和目标方面的有效性，向顾客提供稳定、合格产品，满足适用的环境</w:t>
            </w:r>
            <w:r>
              <w:t>/</w:t>
            </w:r>
            <w:r>
              <w:rPr>
                <w:rFonts w:hint="eastAsia"/>
              </w:rPr>
              <w:t>职业健康安全法规、防止污染、重大事故和持续改进而策划的活动的情况；扩大范围部分体系运行情况</w:t>
            </w:r>
            <w:r>
              <w:t>)</w:t>
            </w:r>
          </w:p>
          <w:p>
            <w:pPr>
              <w:spacing w:line="280" w:lineRule="exact"/>
              <w:ind w:firstLine="240" w:firstLineChars="100"/>
            </w:pPr>
          </w:p>
          <w:p>
            <w:pPr>
              <w:spacing w:line="280" w:lineRule="exact"/>
              <w:ind w:firstLine="240" w:firstLineChars="100"/>
            </w:pPr>
          </w:p>
          <w:p>
            <w:pPr>
              <w:pStyle w:val="16"/>
              <w:keepNext w:val="0"/>
              <w:keepLines w:val="0"/>
              <w:pageBreakBefore w:val="0"/>
              <w:widowControl w:val="0"/>
              <w:kinsoku/>
              <w:wordWrap/>
              <w:overflowPunct/>
              <w:topLinePunct w:val="0"/>
              <w:bidi w:val="0"/>
              <w:snapToGrid/>
              <w:spacing w:line="340" w:lineRule="exact"/>
              <w:ind w:left="1453" w:right="0" w:rightChars="0" w:hanging="1033"/>
              <w:outlineLvl w:val="9"/>
              <w:rPr>
                <w:rFonts w:hint="eastAsia"/>
                <w:lang w:val="en-GB"/>
              </w:rPr>
            </w:pPr>
            <w:r>
              <w:rPr>
                <w:rFonts w:hint="eastAsia"/>
                <w:lang w:val="en-GB"/>
              </w:rPr>
              <w:t>审核结论：根据审核发现，审核组一致认为，</w:t>
            </w:r>
            <w:r>
              <w:t>北京美亚安数科技有限公司</w:t>
            </w:r>
            <w:r>
              <w:rPr>
                <w:rFonts w:hint="eastAsia"/>
                <w:lang w:val="en-US" w:eastAsia="zh-CN"/>
              </w:rPr>
              <w:t xml:space="preserve">     </w:t>
            </w:r>
            <w:r>
              <w:rPr>
                <w:rFonts w:hint="eastAsia"/>
                <w:lang w:val="en-GB"/>
              </w:rPr>
              <w:t>的</w:t>
            </w:r>
          </w:p>
          <w:p>
            <w:pPr>
              <w:spacing w:line="280" w:lineRule="exact"/>
              <w:ind w:firstLine="240" w:firstLineChars="100"/>
            </w:pPr>
            <w:r>
              <w:rPr>
                <w:rFonts w:hint="eastAsia"/>
              </w:rPr>
              <w:t>▉</w:t>
            </w:r>
            <w:r>
              <w:rPr>
                <w:rFonts w:hint="eastAsia"/>
                <w:lang w:val="en-GB"/>
              </w:rPr>
              <w:t>质量</w:t>
            </w:r>
            <w:r>
              <w:rPr>
                <w:rFonts w:hint="eastAsia"/>
              </w:rPr>
              <w:t>■</w:t>
            </w:r>
            <w:r>
              <w:rPr>
                <w:rFonts w:hint="eastAsia"/>
                <w:lang w:val="en-GB"/>
              </w:rPr>
              <w:t>环境</w:t>
            </w:r>
            <w:r>
              <w:rPr>
                <w:rFonts w:hint="eastAsia"/>
              </w:rPr>
              <w:t>■</w:t>
            </w:r>
            <w:r>
              <w:rPr>
                <w:rFonts w:hint="eastAsia"/>
                <w:lang w:val="en-GB"/>
              </w:rPr>
              <w:t>职业健康安全</w:t>
            </w:r>
            <w:r>
              <w:rPr>
                <w:rFonts w:hint="eastAsia"/>
              </w:rPr>
              <w:t>□</w:t>
            </w:r>
            <w:r>
              <w:rPr>
                <w:rFonts w:hint="eastAsia"/>
                <w:lang w:val="en-GB"/>
              </w:rPr>
              <w:t>食品安全 管理体系</w:t>
            </w:r>
            <w:r>
              <w:rPr>
                <w:rFonts w:hint="eastAsia"/>
              </w:rPr>
              <w:t>□危害分析与关键控制点</w:t>
            </w:r>
            <w:r>
              <w:rPr>
                <w:rFonts w:hint="eastAsia"/>
                <w:lang w:val="en-GB"/>
              </w:rPr>
              <w:t>体系：</w:t>
            </w:r>
          </w:p>
          <w:p>
            <w:pPr>
              <w:spacing w:line="280" w:lineRule="exact"/>
              <w:ind w:firstLine="240" w:firstLineChars="100"/>
            </w:pPr>
            <w:r>
              <w:pict>
                <v:shape id="_x0000_s2055" o:spid="_x0000_s2055" o:spt="75" type="#_x0000_t75" style="position:absolute;left:0pt;margin-left:27pt;margin-top:12.5pt;height:119.5pt;width:416.5pt;z-index:-251656192;mso-width-relative:page;mso-height-relative:page;" o:ole="t" filled="f" o:preferrelative="t" stroked="f" coordsize="21600,21600">
                  <v:path/>
                  <v:fill on="f" focussize="0,0"/>
                  <v:stroke on="f"/>
                  <v:imagedata r:id="rId7" o:title=""/>
                  <o:lock v:ext="edit" aspectratio="f"/>
                </v:shape>
                <o:OLEObject Type="Embed" ProgID="Word.Document.8" ShapeID="_x0000_s2055" DrawAspect="Content" ObjectID="_1468075725" r:id="rId6">
                  <o:LockedField>false</o:LockedField>
                </o:OLEObject>
              </w:pict>
            </w:r>
          </w:p>
          <w:p>
            <w:pPr>
              <w:spacing w:line="280" w:lineRule="exact"/>
              <w:ind w:firstLine="240" w:firstLineChars="100"/>
            </w:pPr>
          </w:p>
          <w:p>
            <w:pPr>
              <w:spacing w:line="280" w:lineRule="exact"/>
              <w:ind w:firstLine="240" w:firstLineChars="100"/>
            </w:pPr>
          </w:p>
          <w:p>
            <w:pPr>
              <w:spacing w:line="280" w:lineRule="exact"/>
            </w:pPr>
          </w:p>
          <w:p>
            <w:pPr>
              <w:spacing w:line="240" w:lineRule="exact"/>
            </w:pPr>
          </w:p>
          <w:p>
            <w:pPr>
              <w:pStyle w:val="2"/>
              <w:rPr>
                <w:rFonts w:ascii="宋体" w:hAnsi="宋体"/>
                <w:b/>
                <w:szCs w:val="21"/>
              </w:rPr>
            </w:pPr>
          </w:p>
          <w:p>
            <w:pPr>
              <w:pStyle w:val="2"/>
              <w:rPr>
                <w:rFonts w:ascii="宋体" w:hAnsi="宋体"/>
                <w:b/>
                <w:szCs w:val="21"/>
              </w:rPr>
            </w:pPr>
          </w:p>
          <w:p>
            <w:pPr>
              <w:pStyle w:val="2"/>
              <w:rPr>
                <w:rFonts w:ascii="宋体" w:hAnsi="宋体"/>
                <w:b/>
                <w:szCs w:val="21"/>
              </w:rPr>
            </w:pPr>
          </w:p>
          <w:p>
            <w:pPr>
              <w:pStyle w:val="2"/>
              <w:rPr>
                <w:rFonts w:ascii="宋体" w:hAnsi="宋体"/>
                <w:b/>
                <w:szCs w:val="21"/>
              </w:rPr>
            </w:pPr>
          </w:p>
          <w:p>
            <w:pPr>
              <w:pStyle w:val="2"/>
              <w:rPr>
                <w:rFonts w:ascii="宋体" w:hAnsi="宋体"/>
                <w:b/>
                <w:szCs w:val="21"/>
              </w:rPr>
            </w:pPr>
          </w:p>
          <w:p>
            <w:pPr>
              <w:pStyle w:val="2"/>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523" w:type="dxa"/>
          </w:tcPr>
          <w:p>
            <w:pPr>
              <w:spacing w:line="280" w:lineRule="exact"/>
              <w:rPr>
                <w:rFonts w:ascii="宋体" w:hAnsi="宋体"/>
                <w:b/>
                <w:szCs w:val="21"/>
              </w:rPr>
            </w:pPr>
            <w:r>
              <w:rPr>
                <w:rFonts w:ascii="宋体" w:hAnsi="宋体"/>
                <w:b/>
                <w:szCs w:val="21"/>
              </w:rPr>
              <w:t xml:space="preserve">2. </w:t>
            </w:r>
            <w:r>
              <w:rPr>
                <w:rFonts w:hint="eastAsia" w:ascii="宋体" w:hAnsi="宋体"/>
                <w:b/>
                <w:szCs w:val="21"/>
              </w:rPr>
              <w:t>审核组推荐意见：</w:t>
            </w:r>
          </w:p>
          <w:p>
            <w:pPr>
              <w:spacing w:line="280" w:lineRule="exact"/>
              <w:ind w:firstLine="361" w:firstLineChars="150"/>
              <w:rPr>
                <w:rFonts w:ascii="宋体" w:hAnsi="宋体"/>
                <w:b/>
                <w:szCs w:val="21"/>
              </w:rPr>
            </w:pPr>
            <w:r>
              <w:rPr>
                <w:rFonts w:hint="eastAsia" w:ascii="宋体" w:hAnsi="宋体"/>
                <w:b/>
                <w:szCs w:val="21"/>
                <w:lang w:eastAsia="zh-CN"/>
              </w:rPr>
              <w:t>☑</w:t>
            </w:r>
            <w:r>
              <w:rPr>
                <w:rFonts w:hint="eastAsia" w:ascii="宋体" w:hAnsi="宋体"/>
                <w:b/>
                <w:szCs w:val="21"/>
              </w:rPr>
              <w:t>推荐保持（</w:t>
            </w:r>
            <w:r>
              <w:rPr>
                <w:rFonts w:hint="eastAsia" w:ascii="宋体" w:hAnsi="宋体"/>
                <w:b/>
                <w:szCs w:val="21"/>
                <w:lang w:eastAsia="zh-CN"/>
              </w:rPr>
              <w:t>☑</w:t>
            </w:r>
            <w:r>
              <w:rPr>
                <w:rFonts w:ascii="宋体" w:hAnsi="宋体"/>
                <w:b/>
                <w:szCs w:val="21"/>
              </w:rPr>
              <w:t>QMS</w:t>
            </w:r>
            <w:r>
              <w:rPr>
                <w:rFonts w:hint="eastAsia" w:ascii="宋体" w:hAnsi="宋体"/>
                <w:b/>
                <w:szCs w:val="21"/>
              </w:rPr>
              <w:t>□50430</w:t>
            </w:r>
            <w:r>
              <w:rPr>
                <w:rFonts w:hint="eastAsia" w:ascii="宋体" w:hAnsi="宋体"/>
                <w:b/>
                <w:szCs w:val="21"/>
                <w:lang w:eastAsia="zh-CN"/>
              </w:rPr>
              <w:t>☑</w:t>
            </w:r>
            <w:r>
              <w:rPr>
                <w:rFonts w:ascii="宋体" w:hAnsi="宋体"/>
                <w:b/>
                <w:szCs w:val="21"/>
              </w:rPr>
              <w:t xml:space="preserve">EMS  </w:t>
            </w:r>
            <w:r>
              <w:rPr>
                <w:rFonts w:hint="eastAsia" w:ascii="宋体" w:hAnsi="宋体"/>
                <w:b/>
                <w:szCs w:val="21"/>
                <w:lang w:eastAsia="zh-CN"/>
              </w:rPr>
              <w:t>☑</w:t>
            </w:r>
            <w:r>
              <w:rPr>
                <w:rFonts w:ascii="宋体" w:hAnsi="宋体"/>
                <w:b/>
                <w:szCs w:val="21"/>
              </w:rPr>
              <w:t>OHSMS</w:t>
            </w:r>
          </w:p>
          <w:p>
            <w:pPr>
              <w:spacing w:line="280" w:lineRule="exact"/>
              <w:ind w:firstLine="361" w:firstLineChars="150"/>
              <w:rPr>
                <w:rFonts w:ascii="宋体" w:hAnsi="宋体"/>
                <w:b/>
                <w:szCs w:val="21"/>
              </w:rPr>
            </w:pPr>
            <w:r>
              <w:rPr>
                <w:rFonts w:hint="eastAsia" w:ascii="宋体" w:hAnsi="宋体"/>
                <w:b/>
                <w:szCs w:val="21"/>
              </w:rPr>
              <w:t>□</w:t>
            </w:r>
            <w:r>
              <w:rPr>
                <w:rFonts w:ascii="宋体" w:hAnsi="宋体"/>
                <w:b/>
                <w:szCs w:val="21"/>
              </w:rPr>
              <w:t>(</w:t>
            </w:r>
            <w:r>
              <w:rPr>
                <w:rFonts w:hint="eastAsia" w:ascii="宋体" w:hAnsi="宋体"/>
                <w:b/>
                <w:szCs w:val="21"/>
              </w:rPr>
              <w:t>在完成纠正措施后</w:t>
            </w:r>
            <w:r>
              <w:rPr>
                <w:rFonts w:ascii="宋体" w:hAnsi="宋体"/>
                <w:b/>
                <w:szCs w:val="21"/>
              </w:rPr>
              <w:t>)</w:t>
            </w:r>
            <w:r>
              <w:rPr>
                <w:rFonts w:hint="eastAsia" w:ascii="宋体" w:hAnsi="宋体"/>
                <w:b/>
                <w:szCs w:val="21"/>
              </w:rPr>
              <w:t>推荐保持（□</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ind w:firstLine="361" w:firstLineChars="150"/>
              <w:rPr>
                <w:rFonts w:ascii="宋体" w:hAnsi="宋体"/>
                <w:b/>
                <w:szCs w:val="21"/>
              </w:rPr>
            </w:pPr>
            <w:r>
              <w:rPr>
                <w:rFonts w:hint="eastAsia" w:ascii="宋体" w:hAnsi="宋体"/>
                <w:b/>
                <w:szCs w:val="21"/>
              </w:rPr>
              <w:t>□延期推荐（□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rFonts w:ascii="宋体" w:hAnsi="宋体"/>
                <w:b/>
                <w:szCs w:val="21"/>
              </w:rPr>
            </w:pPr>
            <w:r>
              <w:rPr>
                <w:rFonts w:hint="eastAsia" w:ascii="宋体" w:hAnsi="宋体"/>
                <w:b/>
                <w:szCs w:val="21"/>
              </w:rPr>
              <w:t>□不推荐（□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rFonts w:ascii="宋体" w:hAnsi="宋体"/>
                <w:b/>
                <w:szCs w:val="21"/>
              </w:rPr>
            </w:pPr>
            <w:r>
              <w:rPr>
                <w:rFonts w:hint="eastAsia" w:ascii="宋体" w:hAnsi="宋体"/>
                <w:b/>
                <w:szCs w:val="21"/>
              </w:rPr>
              <w:t>延期推荐、不推荐或缩小认证范围的说明</w:t>
            </w:r>
            <w:r>
              <w:rPr>
                <w:rFonts w:ascii="宋体" w:hAnsi="宋体"/>
                <w:b/>
                <w:szCs w:val="21"/>
              </w:rPr>
              <w:t>:</w:t>
            </w:r>
          </w:p>
          <w:p>
            <w:pPr>
              <w:spacing w:line="280" w:lineRule="exact"/>
              <w:ind w:firstLine="361" w:firstLineChars="150"/>
              <w:rPr>
                <w:rFonts w:ascii="宋体" w:hAnsi="宋体"/>
                <w:b/>
                <w:szCs w:val="21"/>
              </w:rPr>
            </w:pPr>
          </w:p>
          <w:p>
            <w:pPr>
              <w:spacing w:line="280" w:lineRule="exact"/>
              <w:ind w:firstLine="361" w:firstLineChars="150"/>
              <w:rPr>
                <w:rFonts w:ascii="宋体" w:hAnsi="宋体"/>
                <w:b/>
                <w:szCs w:val="21"/>
              </w:rPr>
            </w:pPr>
          </w:p>
          <w:p>
            <w:pPr>
              <w:spacing w:line="280" w:lineRule="exact"/>
              <w:ind w:firstLine="392" w:firstLineChars="150"/>
              <w:rPr>
                <w:b/>
                <w:sz w:val="26"/>
                <w:szCs w:val="26"/>
              </w:rPr>
            </w:pPr>
          </w:p>
        </w:tc>
      </w:tr>
    </w:tbl>
    <w:p>
      <w:pPr>
        <w:snapToGrid w:val="0"/>
        <w:spacing w:line="240" w:lineRule="exact"/>
        <w:rPr>
          <w:b/>
          <w:sz w:val="21"/>
          <w:szCs w:val="21"/>
        </w:rPr>
      </w:pPr>
    </w:p>
    <w:p>
      <w:pPr>
        <w:tabs>
          <w:tab w:val="left" w:pos="645"/>
        </w:tabs>
        <w:spacing w:after="163" w:afterLines="50" w:line="360" w:lineRule="exact"/>
        <w:rPr>
          <w:b/>
          <w:sz w:val="16"/>
          <w:szCs w:val="16"/>
        </w:rPr>
      </w:pPr>
      <w:r>
        <w:rPr>
          <w:rFonts w:hint="eastAsia"/>
          <w:b/>
          <w:sz w:val="26"/>
          <w:szCs w:val="26"/>
        </w:rPr>
        <w:t>十、不符合项纠正措施要求</w:t>
      </w:r>
    </w:p>
    <w:p>
      <w:pPr>
        <w:spacing w:line="360" w:lineRule="exact"/>
        <w:ind w:left="528" w:leftChars="220"/>
        <w:rPr>
          <w:b/>
          <w:sz w:val="21"/>
        </w:rPr>
      </w:pPr>
      <w:r>
        <w:rPr>
          <w:rFonts w:hint="eastAsia"/>
          <w:b/>
          <w:sz w:val="21"/>
        </w:rPr>
        <w:t>根据相关规定，请组织对一般不符合报告在</w:t>
      </w:r>
      <w:r>
        <w:rPr>
          <w:b/>
          <w:sz w:val="21"/>
          <w:u w:val="single"/>
        </w:rPr>
        <w:t xml:space="preserve">  30   </w:t>
      </w:r>
      <w:r>
        <w:rPr>
          <w:rFonts w:hint="eastAsia"/>
          <w:b/>
          <w:sz w:val="21"/>
        </w:rPr>
        <w:t>天</w:t>
      </w:r>
      <w:r>
        <w:rPr>
          <w:b/>
          <w:sz w:val="21"/>
        </w:rPr>
        <w:t>/</w:t>
      </w:r>
      <w:r>
        <w:rPr>
          <w:rFonts w:hint="eastAsia"/>
          <w:b/>
          <w:sz w:val="21"/>
        </w:rPr>
        <w:t>严重不符合在天针对不符合原因制定并实施纠正措施。验证方式见不符合项报告。</w:t>
      </w:r>
    </w:p>
    <w:p>
      <w:pPr>
        <w:spacing w:before="163" w:beforeLines="50" w:after="163" w:afterLines="50"/>
        <w:ind w:left="-122" w:leftChars="-51" w:firstLine="120" w:firstLineChars="46"/>
        <w:rPr>
          <w:rFonts w:hint="eastAsia" w:eastAsia="宋体"/>
          <w:b/>
          <w:color w:val="FF0000"/>
          <w:sz w:val="26"/>
          <w:szCs w:val="26"/>
          <w:lang w:val="en-US" w:eastAsia="zh-CN"/>
        </w:rPr>
      </w:pPr>
      <w:r>
        <w:rPr>
          <w:rFonts w:hint="eastAsia"/>
          <w:b/>
          <w:sz w:val="26"/>
          <w:szCs w:val="26"/>
        </w:rPr>
        <w:t>十一、</w:t>
      </w:r>
      <w:r>
        <w:rPr>
          <w:rFonts w:hint="eastAsia" w:ascii="仿宋" w:hAnsi="仿宋" w:eastAsia="仿宋"/>
          <w:kern w:val="24"/>
          <w:sz w:val="28"/>
          <w:szCs w:val="28"/>
        </w:rPr>
        <w:t>任何影响审核方案的重要事项</w:t>
      </w:r>
      <w:r>
        <w:rPr>
          <w:rFonts w:hint="eastAsia"/>
          <w:b/>
          <w:sz w:val="26"/>
          <w:szCs w:val="26"/>
        </w:rPr>
        <w:t>：</w:t>
      </w:r>
      <w:r>
        <w:rPr>
          <w:rFonts w:hint="eastAsia"/>
          <w:b/>
          <w:sz w:val="26"/>
          <w:szCs w:val="26"/>
          <w:lang w:val="en-US" w:eastAsia="zh-CN"/>
        </w:rPr>
        <w:t>无</w:t>
      </w:r>
    </w:p>
    <w:p>
      <w:pPr>
        <w:snapToGrid w:val="0"/>
        <w:spacing w:line="360" w:lineRule="exact"/>
        <w:rPr>
          <w:b/>
          <w:bCs/>
          <w:sz w:val="21"/>
          <w:szCs w:val="28"/>
        </w:rPr>
      </w:pPr>
    </w:p>
    <w:p>
      <w:pPr>
        <w:tabs>
          <w:tab w:val="left" w:pos="645"/>
        </w:tabs>
        <w:spacing w:after="163" w:afterLines="50" w:line="360" w:lineRule="exact"/>
        <w:rPr>
          <w:b/>
          <w:sz w:val="16"/>
          <w:szCs w:val="16"/>
        </w:rPr>
      </w:pPr>
      <w:r>
        <w:rPr>
          <w:rFonts w:hint="eastAsia"/>
          <w:b/>
          <w:sz w:val="26"/>
          <w:szCs w:val="26"/>
        </w:rPr>
        <w:t>十二、审核组签字</w:t>
      </w:r>
    </w:p>
    <w:p>
      <w:pPr>
        <w:snapToGrid w:val="0"/>
        <w:spacing w:line="320" w:lineRule="exact"/>
        <w:ind w:firstLine="527" w:firstLineChars="250"/>
        <w:rPr>
          <w:b/>
          <w:sz w:val="21"/>
        </w:rPr>
      </w:pPr>
      <w:r>
        <w:rPr>
          <w:rFonts w:hint="eastAsia"/>
          <w:b/>
          <w:sz w:val="21"/>
        </w:rPr>
        <w:t>审核组组长（签名）：</w:t>
      </w:r>
      <w:r>
        <w:drawing>
          <wp:anchor distT="0" distB="0" distL="114300" distR="114300" simplePos="0" relativeHeight="251661312" behindDoc="1" locked="0" layoutInCell="1" allowOverlap="1">
            <wp:simplePos x="0" y="0"/>
            <wp:positionH relativeFrom="column">
              <wp:posOffset>1671955</wp:posOffset>
            </wp:positionH>
            <wp:positionV relativeFrom="paragraph">
              <wp:posOffset>-205740</wp:posOffset>
            </wp:positionV>
            <wp:extent cx="847725" cy="368300"/>
            <wp:effectExtent l="0" t="0" r="3175"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8"/>
                    <a:stretch>
                      <a:fillRect/>
                    </a:stretch>
                  </pic:blipFill>
                  <pic:spPr>
                    <a:xfrm>
                      <a:off x="0" y="0"/>
                      <a:ext cx="847725" cy="368300"/>
                    </a:xfrm>
                    <a:prstGeom prst="rect">
                      <a:avLst/>
                    </a:prstGeom>
                    <a:noFill/>
                    <a:ln>
                      <a:noFill/>
                    </a:ln>
                  </pic:spPr>
                </pic:pic>
              </a:graphicData>
            </a:graphic>
          </wp:anchor>
        </w:drawing>
      </w:r>
    </w:p>
    <w:p>
      <w:pPr>
        <w:snapToGrid w:val="0"/>
        <w:spacing w:before="163" w:beforeLines="50" w:line="320" w:lineRule="exact"/>
        <w:ind w:firstLine="600" w:firstLineChars="250"/>
        <w:rPr>
          <w:rFonts w:hint="default" w:eastAsia="宋体"/>
          <w:b/>
          <w:sz w:val="21"/>
          <w:lang w:val="en-US" w:eastAsia="zh-CN"/>
        </w:rPr>
      </w:pPr>
      <w:r>
        <w:drawing>
          <wp:anchor distT="0" distB="0" distL="114300" distR="114300" simplePos="0" relativeHeight="251662336" behindDoc="1" locked="0" layoutInCell="1" allowOverlap="1">
            <wp:simplePos x="0" y="0"/>
            <wp:positionH relativeFrom="column">
              <wp:posOffset>1513205</wp:posOffset>
            </wp:positionH>
            <wp:positionV relativeFrom="paragraph">
              <wp:posOffset>97790</wp:posOffset>
            </wp:positionV>
            <wp:extent cx="729615" cy="402590"/>
            <wp:effectExtent l="0" t="0" r="6985" b="3810"/>
            <wp:wrapNone/>
            <wp:docPr id="2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1"/>
                    <pic:cNvPicPr>
                      <a:picLocks noChangeAspect="1"/>
                    </pic:cNvPicPr>
                  </pic:nvPicPr>
                  <pic:blipFill>
                    <a:blip r:embed="rId9"/>
                    <a:stretch>
                      <a:fillRect/>
                    </a:stretch>
                  </pic:blipFill>
                  <pic:spPr>
                    <a:xfrm>
                      <a:off x="0" y="0"/>
                      <a:ext cx="729615" cy="402590"/>
                    </a:xfrm>
                    <a:prstGeom prst="rect">
                      <a:avLst/>
                    </a:prstGeom>
                    <a:noFill/>
                    <a:ln>
                      <a:noFill/>
                    </a:ln>
                  </pic:spPr>
                </pic:pic>
              </a:graphicData>
            </a:graphic>
          </wp:anchor>
        </w:drawing>
      </w:r>
      <w:r>
        <w:rPr>
          <w:rFonts w:hint="eastAsia"/>
          <w:b/>
          <w:sz w:val="21"/>
        </w:rPr>
        <w:t>审核组组员（签名）：</w:t>
      </w:r>
      <w:r>
        <w:rPr>
          <w:rFonts w:hint="eastAsia"/>
          <w:b/>
          <w:sz w:val="21"/>
          <w:lang w:val="en-US" w:eastAsia="zh-CN"/>
        </w:rPr>
        <w:t xml:space="preserve">            </w:t>
      </w:r>
      <w:r>
        <w:drawing>
          <wp:anchor distT="0" distB="0" distL="114300" distR="114300" simplePos="0" relativeHeight="251663360" behindDoc="1" locked="0" layoutInCell="1" allowOverlap="1">
            <wp:simplePos x="0" y="0"/>
            <wp:positionH relativeFrom="column">
              <wp:posOffset>2519680</wp:posOffset>
            </wp:positionH>
            <wp:positionV relativeFrom="paragraph">
              <wp:posOffset>-165735</wp:posOffset>
            </wp:positionV>
            <wp:extent cx="631190" cy="424815"/>
            <wp:effectExtent l="0" t="0" r="3810" b="6985"/>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0"/>
                    <a:stretch>
                      <a:fillRect/>
                    </a:stretch>
                  </pic:blipFill>
                  <pic:spPr>
                    <a:xfrm>
                      <a:off x="0" y="0"/>
                      <a:ext cx="631190" cy="424815"/>
                    </a:xfrm>
                    <a:prstGeom prst="rect">
                      <a:avLst/>
                    </a:prstGeom>
                    <a:noFill/>
                    <a:ln>
                      <a:noFill/>
                    </a:ln>
                  </pic:spPr>
                </pic:pic>
              </a:graphicData>
            </a:graphic>
          </wp:anchor>
        </w:drawing>
      </w:r>
    </w:p>
    <w:p>
      <w:pPr>
        <w:tabs>
          <w:tab w:val="left" w:pos="2582"/>
        </w:tabs>
        <w:snapToGrid w:val="0"/>
        <w:spacing w:line="280" w:lineRule="exact"/>
        <w:ind w:firstLine="6325" w:firstLineChars="3000"/>
        <w:rPr>
          <w:rFonts w:hint="default" w:eastAsia="宋体"/>
          <w:b/>
          <w:sz w:val="21"/>
          <w:lang w:val="en-US" w:eastAsia="zh-CN"/>
        </w:rPr>
      </w:pPr>
      <w:r>
        <w:rPr>
          <w:rFonts w:hint="eastAsia"/>
          <w:b/>
          <w:sz w:val="21"/>
          <w:lang w:eastAsia="zh-CN"/>
        </w:rPr>
        <w:tab/>
      </w:r>
      <w:r>
        <w:rPr>
          <w:rFonts w:hint="eastAsia"/>
          <w:b/>
          <w:sz w:val="21"/>
        </w:rPr>
        <w:t>日期：</w:t>
      </w:r>
      <w:r>
        <w:rPr>
          <w:rFonts w:hint="eastAsia"/>
          <w:b/>
          <w:sz w:val="21"/>
          <w:lang w:val="en-US" w:eastAsia="zh-CN"/>
        </w:rPr>
        <w:t>2021.7.11</w:t>
      </w:r>
    </w:p>
    <w:p>
      <w:pPr>
        <w:snapToGrid w:val="0"/>
        <w:spacing w:line="200" w:lineRule="exact"/>
        <w:ind w:firstLine="482" w:firstLineChars="300"/>
        <w:rPr>
          <w:b/>
          <w:sz w:val="16"/>
          <w:szCs w:val="16"/>
        </w:rPr>
      </w:pPr>
    </w:p>
    <w:p>
      <w:pPr>
        <w:tabs>
          <w:tab w:val="left" w:pos="645"/>
        </w:tabs>
        <w:spacing w:after="163" w:afterLines="50" w:line="360" w:lineRule="exact"/>
        <w:rPr>
          <w:b/>
          <w:bCs/>
          <w:sz w:val="16"/>
          <w:szCs w:val="16"/>
        </w:rPr>
      </w:pPr>
      <w:r>
        <w:rPr>
          <w:rFonts w:hint="eastAsia"/>
          <w:b/>
          <w:sz w:val="26"/>
          <w:szCs w:val="26"/>
        </w:rPr>
        <w:t>十三、纠正措施验证及结论</w:t>
      </w:r>
      <w:r>
        <w:rPr>
          <w:rFonts w:hint="eastAsia"/>
          <w:b/>
          <w:bCs/>
          <w:sz w:val="16"/>
          <w:szCs w:val="16"/>
        </w:rPr>
        <w:t>：</w:t>
      </w:r>
    </w:p>
    <w:p>
      <w:pPr>
        <w:spacing w:line="360" w:lineRule="exact"/>
        <w:ind w:firstLine="527" w:firstLineChars="250"/>
        <w:rPr>
          <w:b/>
          <w:bCs/>
          <w:sz w:val="21"/>
          <w:szCs w:val="21"/>
        </w:rPr>
      </w:pPr>
      <w:r>
        <w:rPr>
          <w:b/>
          <w:bCs/>
          <w:sz w:val="21"/>
          <w:szCs w:val="21"/>
        </w:rPr>
        <w:t>1.</w:t>
      </w:r>
      <w:r>
        <w:rPr>
          <w:rFonts w:hint="eastAsia"/>
          <w:b/>
          <w:bCs/>
          <w:sz w:val="21"/>
          <w:szCs w:val="21"/>
        </w:rPr>
        <w:t>审核中发现的</w:t>
      </w:r>
      <w:r>
        <w:rPr>
          <w:rFonts w:hint="eastAsia"/>
          <w:b/>
          <w:sz w:val="21"/>
          <w:szCs w:val="21"/>
        </w:rPr>
        <w:t>□</w:t>
      </w:r>
      <w:r>
        <w:rPr>
          <w:b/>
          <w:sz w:val="21"/>
          <w:szCs w:val="21"/>
        </w:rPr>
        <w:t>QMS ()</w:t>
      </w:r>
      <w:r>
        <w:rPr>
          <w:rFonts w:hint="eastAsia"/>
          <w:b/>
          <w:sz w:val="21"/>
          <w:szCs w:val="21"/>
        </w:rPr>
        <w:t>个一般不符合，</w:t>
      </w:r>
      <w:r>
        <w:rPr>
          <w:b/>
          <w:sz w:val="21"/>
          <w:szCs w:val="21"/>
        </w:rPr>
        <w:t>()</w:t>
      </w:r>
      <w:r>
        <w:rPr>
          <w:rFonts w:hint="eastAsia"/>
          <w:b/>
          <w:sz w:val="21"/>
          <w:szCs w:val="21"/>
        </w:rPr>
        <w:t>个严重不符合，□验证合格□仍有问题</w:t>
      </w:r>
    </w:p>
    <w:p>
      <w:pPr>
        <w:spacing w:line="360" w:lineRule="exact"/>
        <w:ind w:firstLine="843" w:firstLineChars="400"/>
        <w:rPr>
          <w:b/>
          <w:bCs/>
          <w:sz w:val="21"/>
          <w:szCs w:val="21"/>
        </w:rPr>
      </w:pPr>
      <w:r>
        <w:rPr>
          <w:rFonts w:hint="eastAsia"/>
          <w:b/>
          <w:bCs/>
          <w:sz w:val="21"/>
          <w:szCs w:val="21"/>
        </w:rPr>
        <w:t>审核中发现的□50430 (    )个一般不符合，(    )个严重不符合，□验证合格□仍有问题</w:t>
      </w:r>
    </w:p>
    <w:p>
      <w:pPr>
        <w:spacing w:line="360" w:lineRule="exact"/>
        <w:ind w:firstLine="843" w:firstLineChars="400"/>
        <w:rPr>
          <w:b/>
          <w:sz w:val="21"/>
          <w:szCs w:val="21"/>
        </w:rPr>
      </w:pPr>
      <w:r>
        <w:rPr>
          <w:rFonts w:hint="eastAsia"/>
          <w:b/>
          <w:bCs/>
          <w:sz w:val="21"/>
          <w:szCs w:val="21"/>
        </w:rPr>
        <w:t>审核中发现的</w:t>
      </w:r>
      <w:r>
        <w:rPr>
          <w:rFonts w:hint="eastAsia"/>
          <w:b/>
          <w:sz w:val="21"/>
          <w:szCs w:val="21"/>
        </w:rPr>
        <w:t>□</w:t>
      </w:r>
      <w:r>
        <w:rPr>
          <w:b/>
          <w:sz w:val="21"/>
          <w:szCs w:val="21"/>
        </w:rPr>
        <w:t>EMS ()</w:t>
      </w:r>
      <w:r>
        <w:rPr>
          <w:rFonts w:hint="eastAsia"/>
          <w:b/>
          <w:sz w:val="21"/>
          <w:szCs w:val="21"/>
        </w:rPr>
        <w:t>个一般不符合，</w:t>
      </w:r>
      <w:r>
        <w:rPr>
          <w:b/>
          <w:sz w:val="21"/>
          <w:szCs w:val="21"/>
        </w:rPr>
        <w:t>( )</w:t>
      </w:r>
      <w:r>
        <w:rPr>
          <w:rFonts w:hint="eastAsia"/>
          <w:b/>
          <w:sz w:val="21"/>
          <w:szCs w:val="21"/>
        </w:rPr>
        <w:t>个严重不符合，□验证合格□仍有问题</w:t>
      </w:r>
    </w:p>
    <w:p>
      <w:pPr>
        <w:spacing w:line="360" w:lineRule="exact"/>
        <w:ind w:firstLine="843" w:firstLineChars="400"/>
        <w:rPr>
          <w:b/>
          <w:sz w:val="21"/>
          <w:szCs w:val="21"/>
        </w:rPr>
      </w:pPr>
      <w:r>
        <w:rPr>
          <w:rFonts w:hint="eastAsia"/>
          <w:b/>
          <w:bCs/>
          <w:sz w:val="21"/>
          <w:szCs w:val="21"/>
        </w:rPr>
        <w:t>审核中发现的</w:t>
      </w:r>
      <w:r>
        <w:rPr>
          <w:rFonts w:hint="eastAsia"/>
          <w:b/>
          <w:sz w:val="21"/>
          <w:szCs w:val="21"/>
        </w:rPr>
        <w:t>□</w:t>
      </w:r>
      <w:r>
        <w:rPr>
          <w:b/>
          <w:sz w:val="21"/>
          <w:szCs w:val="21"/>
        </w:rPr>
        <w:t>OHSMS (    )</w:t>
      </w:r>
      <w:r>
        <w:rPr>
          <w:rFonts w:hint="eastAsia"/>
          <w:b/>
          <w:sz w:val="21"/>
          <w:szCs w:val="21"/>
        </w:rPr>
        <w:t>个一般不符合，</w:t>
      </w:r>
      <w:r>
        <w:rPr>
          <w:b/>
          <w:sz w:val="21"/>
          <w:szCs w:val="21"/>
        </w:rPr>
        <w:t>(    )</w:t>
      </w:r>
      <w:r>
        <w:rPr>
          <w:rFonts w:hint="eastAsia"/>
          <w:b/>
          <w:sz w:val="21"/>
          <w:szCs w:val="21"/>
        </w:rPr>
        <w:t>个严重不符合，□验证合格□仍有问题</w:t>
      </w:r>
      <w:r>
        <w:rPr>
          <w:rFonts w:hint="eastAsia"/>
          <w:b/>
          <w:bCs/>
          <w:sz w:val="21"/>
          <w:szCs w:val="21"/>
        </w:rPr>
        <w:t>审</w:t>
      </w:r>
    </w:p>
    <w:p>
      <w:pPr>
        <w:spacing w:line="360" w:lineRule="exact"/>
        <w:ind w:firstLine="843" w:firstLineChars="400"/>
        <w:rPr>
          <w:b/>
          <w:sz w:val="21"/>
          <w:szCs w:val="21"/>
        </w:rPr>
      </w:pPr>
    </w:p>
    <w:p>
      <w:pPr>
        <w:spacing w:before="163" w:beforeLines="50" w:line="400" w:lineRule="exact"/>
        <w:rPr>
          <w:b/>
          <w:sz w:val="21"/>
          <w:szCs w:val="21"/>
          <w:u w:val="single"/>
        </w:rPr>
      </w:pPr>
      <w:r>
        <w:rPr>
          <w:rFonts w:hint="eastAsia"/>
          <w:b/>
          <w:sz w:val="21"/>
          <w:szCs w:val="21"/>
        </w:rPr>
        <w:t>存在问题说明及意见：</w:t>
      </w:r>
    </w:p>
    <w:p>
      <w:pPr>
        <w:spacing w:line="400" w:lineRule="exact"/>
        <w:rPr>
          <w:b/>
          <w:sz w:val="21"/>
          <w:szCs w:val="21"/>
          <w:u w:val="single"/>
        </w:rPr>
      </w:pPr>
    </w:p>
    <w:p>
      <w:pPr>
        <w:spacing w:before="163" w:beforeLines="50"/>
        <w:ind w:firstLine="632" w:firstLineChars="300"/>
        <w:rPr>
          <w:b/>
          <w:sz w:val="21"/>
          <w:szCs w:val="21"/>
        </w:rPr>
      </w:pPr>
      <w:r>
        <w:rPr>
          <w:b/>
          <w:sz w:val="21"/>
          <w:szCs w:val="21"/>
        </w:rPr>
        <w:t>2.</w:t>
      </w:r>
      <w:r>
        <w:rPr>
          <w:rFonts w:hint="eastAsia"/>
          <w:b/>
          <w:sz w:val="21"/>
          <w:szCs w:val="21"/>
        </w:rPr>
        <w:t>验证结论：</w:t>
      </w:r>
    </w:p>
    <w:p>
      <w:pPr>
        <w:tabs>
          <w:tab w:val="left" w:pos="6880"/>
          <w:tab w:val="left" w:pos="7740"/>
          <w:tab w:val="left" w:pos="8385"/>
        </w:tabs>
        <w:snapToGrid w:val="0"/>
        <w:spacing w:before="163" w:beforeLines="50"/>
        <w:ind w:firstLine="1717" w:firstLineChars="900"/>
        <w:rPr>
          <w:b/>
          <w:sz w:val="21"/>
          <w:szCs w:val="21"/>
        </w:rPr>
      </w:pPr>
      <w:r>
        <w:rPr>
          <w:rFonts w:hint="eastAsia"/>
          <w:b/>
          <w:spacing w:val="-10"/>
          <w:sz w:val="21"/>
          <w:szCs w:val="21"/>
          <w:lang w:eastAsia="zh-CN"/>
        </w:rPr>
        <w:t>☑</w:t>
      </w:r>
      <w:r>
        <w:rPr>
          <w:rFonts w:hint="eastAsia"/>
          <w:b/>
          <w:sz w:val="21"/>
          <w:szCs w:val="21"/>
        </w:rPr>
        <w:t>同意保持注册</w:t>
      </w:r>
      <w:r>
        <w:rPr>
          <w:rFonts w:hint="eastAsia"/>
          <w:b/>
          <w:spacing w:val="-10"/>
          <w:sz w:val="21"/>
          <w:szCs w:val="21"/>
        </w:rPr>
        <w:t>□</w:t>
      </w:r>
      <w:r>
        <w:rPr>
          <w:rFonts w:hint="eastAsia"/>
          <w:b/>
          <w:sz w:val="21"/>
          <w:szCs w:val="21"/>
        </w:rPr>
        <w:t>不同意保持注册</w:t>
      </w:r>
    </w:p>
    <w:p>
      <w:pPr>
        <w:spacing w:before="163" w:beforeLines="50"/>
        <w:ind w:firstLine="632" w:firstLineChars="300"/>
        <w:rPr>
          <w:rFonts w:hint="eastAsia" w:ascii="Times New Roman" w:hAnsi="Times New Roman" w:eastAsia="宋体" w:cs="Times New Roman"/>
          <w:b/>
          <w:sz w:val="21"/>
          <w:szCs w:val="21"/>
        </w:rPr>
      </w:pPr>
      <w:r>
        <w:rPr>
          <w:rFonts w:hint="eastAsia" w:ascii="Times New Roman" w:hAnsi="Times New Roman" w:eastAsia="宋体" w:cs="Times New Roman"/>
          <w:b/>
          <w:sz w:val="21"/>
          <w:szCs w:val="21"/>
        </w:rPr>
        <w:drawing>
          <wp:anchor distT="0" distB="0" distL="114300" distR="114300" simplePos="0" relativeHeight="251664384" behindDoc="1" locked="0" layoutInCell="1" allowOverlap="1">
            <wp:simplePos x="0" y="0"/>
            <wp:positionH relativeFrom="column">
              <wp:posOffset>1394460</wp:posOffset>
            </wp:positionH>
            <wp:positionV relativeFrom="paragraph">
              <wp:posOffset>41275</wp:posOffset>
            </wp:positionV>
            <wp:extent cx="847725" cy="368300"/>
            <wp:effectExtent l="0" t="0" r="3175"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tretch>
                      <a:fillRect/>
                    </a:stretch>
                  </pic:blipFill>
                  <pic:spPr>
                    <a:xfrm>
                      <a:off x="0" y="0"/>
                      <a:ext cx="847725" cy="368300"/>
                    </a:xfrm>
                    <a:prstGeom prst="rect">
                      <a:avLst/>
                    </a:prstGeom>
                    <a:noFill/>
                    <a:ln>
                      <a:noFill/>
                    </a:ln>
                  </pic:spPr>
                </pic:pic>
              </a:graphicData>
            </a:graphic>
          </wp:anchor>
        </w:drawing>
      </w:r>
      <w:r>
        <w:rPr>
          <w:rFonts w:hint="eastAsia" w:ascii="Times New Roman" w:hAnsi="Times New Roman" w:eastAsia="宋体" w:cs="Times New Roman"/>
          <w:b/>
          <w:sz w:val="21"/>
          <w:szCs w:val="21"/>
        </w:rPr>
        <w:t>组长签字：</w:t>
      </w:r>
    </w:p>
    <w:p>
      <w:pPr>
        <w:ind w:left="783" w:hanging="783" w:hangingChars="300"/>
        <w:rPr>
          <w:b/>
          <w:sz w:val="26"/>
          <w:szCs w:val="26"/>
        </w:rPr>
      </w:pPr>
      <w:r>
        <w:rPr>
          <w:rFonts w:hint="eastAsia"/>
          <w:b/>
          <w:sz w:val="26"/>
          <w:szCs w:val="26"/>
        </w:rPr>
        <w:t>十四、</w:t>
      </w:r>
      <w:r>
        <w:rPr>
          <w:rFonts w:hint="eastAsia"/>
          <w:b/>
          <w:bCs/>
          <w:sz w:val="26"/>
          <w:szCs w:val="26"/>
        </w:rPr>
        <w:t>与末次会议结论不同处的说明和其他说明：（技委委员会</w:t>
      </w:r>
      <w:r>
        <w:rPr>
          <w:rFonts w:hint="eastAsia"/>
          <w:b/>
          <w:sz w:val="26"/>
          <w:szCs w:val="26"/>
        </w:rPr>
        <w:t>填写</w:t>
      </w:r>
      <w:r>
        <w:rPr>
          <w:b/>
          <w:sz w:val="26"/>
          <w:szCs w:val="26"/>
        </w:rPr>
        <w:t>)</w:t>
      </w:r>
    </w:p>
    <w:p>
      <w:pPr>
        <w:snapToGrid w:val="0"/>
        <w:spacing w:before="163" w:beforeLines="50" w:after="163" w:afterLines="50" w:line="360" w:lineRule="exact"/>
        <w:rPr>
          <w:b/>
          <w:sz w:val="26"/>
          <w:szCs w:val="26"/>
        </w:rPr>
      </w:pPr>
      <w:r>
        <w:rPr>
          <w:rFonts w:hint="eastAsia"/>
          <w:b/>
          <w:sz w:val="26"/>
          <w:szCs w:val="26"/>
        </w:rPr>
        <w:t>十五、审核报告的发放范围：</w:t>
      </w:r>
    </w:p>
    <w:p>
      <w:pPr>
        <w:snapToGrid w:val="0"/>
        <w:spacing w:line="320" w:lineRule="exact"/>
        <w:ind w:firstLine="316" w:firstLineChars="150"/>
        <w:rPr>
          <w:b/>
          <w:sz w:val="21"/>
        </w:rPr>
      </w:pPr>
      <w:r>
        <w:rPr>
          <w:rFonts w:hint="eastAsia"/>
          <w:b/>
          <w:sz w:val="21"/>
        </w:rPr>
        <w:t>受审核方（含附件）</w:t>
      </w:r>
      <w:r>
        <w:rPr>
          <w:b/>
          <w:sz w:val="21"/>
        </w:rPr>
        <w:t xml:space="preserve">                    1</w:t>
      </w:r>
      <w:r>
        <w:rPr>
          <w:rFonts w:hint="eastAsia"/>
          <w:b/>
          <w:sz w:val="21"/>
        </w:rPr>
        <w:t>份</w:t>
      </w:r>
    </w:p>
    <w:p>
      <w:pPr>
        <w:snapToGrid w:val="0"/>
        <w:spacing w:line="320" w:lineRule="exact"/>
        <w:ind w:firstLine="316" w:firstLineChars="150"/>
        <w:rPr>
          <w:b/>
          <w:sz w:val="21"/>
        </w:rPr>
      </w:pPr>
      <w:r>
        <w:rPr>
          <w:rFonts w:hint="eastAsia"/>
          <w:b/>
          <w:sz w:val="21"/>
        </w:rPr>
        <w:t>北京国标联合认证有限公司</w:t>
      </w:r>
      <w:r>
        <w:rPr>
          <w:b/>
          <w:sz w:val="21"/>
        </w:rPr>
        <w:t>1</w:t>
      </w:r>
      <w:r>
        <w:rPr>
          <w:rFonts w:hint="eastAsia"/>
          <w:b/>
          <w:sz w:val="21"/>
        </w:rPr>
        <w:t>份</w:t>
      </w:r>
    </w:p>
    <w:p>
      <w:pPr>
        <w:snapToGrid w:val="0"/>
        <w:spacing w:before="163" w:beforeLines="50" w:after="163" w:afterLines="50" w:line="360" w:lineRule="exact"/>
        <w:rPr>
          <w:rFonts w:ascii="宋体"/>
          <w:b/>
          <w:sz w:val="16"/>
          <w:szCs w:val="16"/>
        </w:rPr>
      </w:pPr>
      <w:r>
        <w:rPr>
          <w:rFonts w:hint="eastAsia"/>
          <w:b/>
          <w:sz w:val="26"/>
          <w:szCs w:val="26"/>
        </w:rPr>
        <w:t>十六、</w:t>
      </w:r>
      <w:r>
        <w:rPr>
          <w:rFonts w:hint="eastAsia" w:ascii="宋体" w:hAnsi="宋体"/>
          <w:b/>
          <w:sz w:val="26"/>
          <w:szCs w:val="26"/>
        </w:rPr>
        <w:t>附件</w:t>
      </w:r>
    </w:p>
    <w:p>
      <w:pPr>
        <w:snapToGrid w:val="0"/>
        <w:spacing w:line="320" w:lineRule="exact"/>
        <w:rPr>
          <w:rFonts w:ascii="宋体"/>
          <w:b/>
          <w:bCs/>
          <w:sz w:val="21"/>
          <w:szCs w:val="28"/>
        </w:rPr>
      </w:pPr>
      <w:r>
        <w:rPr>
          <w:b/>
          <w:bCs/>
          <w:sz w:val="21"/>
          <w:szCs w:val="28"/>
        </w:rPr>
        <w:t xml:space="preserve">1. </w:t>
      </w:r>
      <w:r>
        <w:rPr>
          <w:rFonts w:hint="eastAsia" w:ascii="宋体" w:hAnsi="宋体"/>
          <w:b/>
          <w:bCs/>
          <w:sz w:val="21"/>
          <w:szCs w:val="28"/>
        </w:rPr>
        <w:t>审核计划（含项目清单）</w:t>
      </w:r>
    </w:p>
    <w:p>
      <w:pPr>
        <w:snapToGrid w:val="0"/>
        <w:spacing w:line="320" w:lineRule="exact"/>
        <w:rPr>
          <w:rFonts w:ascii="宋体"/>
          <w:b/>
          <w:bCs/>
          <w:sz w:val="18"/>
          <w:szCs w:val="18"/>
        </w:rPr>
      </w:pPr>
      <w:r>
        <w:rPr>
          <w:b/>
          <w:bCs/>
          <w:sz w:val="21"/>
          <w:szCs w:val="28"/>
        </w:rPr>
        <w:t>2.</w:t>
      </w:r>
      <w:r>
        <w:rPr>
          <w:rFonts w:hint="eastAsia" w:ascii="宋体" w:hAnsi="宋体"/>
          <w:b/>
          <w:bCs/>
          <w:sz w:val="21"/>
          <w:szCs w:val="28"/>
        </w:rPr>
        <w:t>不符合报告</w:t>
      </w:r>
      <w:r>
        <w:rPr>
          <w:rFonts w:ascii="宋体" w:hAnsi="宋体"/>
          <w:b/>
          <w:bCs/>
          <w:sz w:val="21"/>
          <w:szCs w:val="28"/>
        </w:rPr>
        <w:t>/</w:t>
      </w:r>
      <w:r>
        <w:rPr>
          <w:rFonts w:hint="eastAsia" w:ascii="宋体" w:hAnsi="宋体"/>
          <w:b/>
          <w:bCs/>
          <w:sz w:val="21"/>
          <w:szCs w:val="28"/>
        </w:rPr>
        <w:t>问题清单</w:t>
      </w:r>
    </w:p>
    <w:p>
      <w:pPr>
        <w:spacing w:line="320" w:lineRule="exact"/>
        <w:rPr>
          <w:b/>
          <w:bCs/>
          <w:sz w:val="16"/>
          <w:szCs w:val="16"/>
        </w:rPr>
      </w:pPr>
      <w:r>
        <w:rPr>
          <w:b/>
          <w:bCs/>
          <w:sz w:val="21"/>
          <w:szCs w:val="28"/>
        </w:rPr>
        <w:t>3.</w:t>
      </w:r>
      <w:r>
        <w:rPr>
          <w:rFonts w:hint="eastAsia" w:ascii="宋体" w:hAnsi="宋体"/>
          <w:b/>
          <w:bCs/>
          <w:sz w:val="21"/>
          <w:szCs w:val="28"/>
        </w:rPr>
        <w:t>其他</w:t>
      </w:r>
    </w:p>
    <w:p>
      <w:pPr>
        <w:spacing w:before="163" w:beforeLines="50" w:after="163" w:afterLines="50" w:line="360" w:lineRule="exact"/>
        <w:rPr>
          <w:rFonts w:ascii="宋体"/>
          <w:b/>
          <w:sz w:val="26"/>
          <w:szCs w:val="26"/>
        </w:rPr>
      </w:pPr>
      <w:r>
        <w:rPr>
          <w:rFonts w:hint="eastAsia"/>
          <w:b/>
          <w:sz w:val="26"/>
          <w:szCs w:val="26"/>
        </w:rPr>
        <w:t>十七</w:t>
      </w:r>
      <w:r>
        <w:rPr>
          <w:rFonts w:hint="eastAsia" w:ascii="宋体" w:hAnsi="宋体"/>
          <w:b/>
          <w:sz w:val="26"/>
          <w:szCs w:val="26"/>
        </w:rPr>
        <w:t>、填表说明：</w:t>
      </w:r>
    </w:p>
    <w:p>
      <w:pPr>
        <w:spacing w:line="320" w:lineRule="exact"/>
        <w:ind w:left="316" w:hanging="316" w:hangingChars="150"/>
        <w:rPr>
          <w:b/>
          <w:bCs/>
          <w:sz w:val="21"/>
        </w:rPr>
      </w:pPr>
      <w:r>
        <w:rPr>
          <w:b/>
          <w:bCs/>
          <w:sz w:val="21"/>
        </w:rPr>
        <w:t xml:space="preserve">1. </w:t>
      </w:r>
      <w:r>
        <w:rPr>
          <w:rFonts w:hint="eastAsia"/>
          <w:b/>
          <w:bCs/>
          <w:sz w:val="21"/>
        </w:rPr>
        <w:t>本审核报告适用于单体系审核，也适用于多体系结合审核情况；</w:t>
      </w:r>
    </w:p>
    <w:p>
      <w:pPr>
        <w:spacing w:line="320" w:lineRule="exact"/>
        <w:ind w:left="316" w:hanging="316" w:hangingChars="150"/>
        <w:rPr>
          <w:b/>
          <w:sz w:val="21"/>
        </w:rPr>
      </w:pPr>
      <w:r>
        <w:rPr>
          <w:b/>
          <w:bCs/>
          <w:sz w:val="21"/>
        </w:rPr>
        <w:t xml:space="preserve">2. </w:t>
      </w:r>
      <w:r>
        <w:rPr>
          <w:rFonts w:hint="eastAsia"/>
          <w:b/>
          <w:bCs/>
          <w:sz w:val="21"/>
        </w:rPr>
        <w:t>应依据审核任务书布置的管理体系领域（指：</w:t>
      </w:r>
      <w:r>
        <w:rPr>
          <w:b/>
          <w:sz w:val="21"/>
        </w:rPr>
        <w:t>QMS</w:t>
      </w:r>
      <w:r>
        <w:rPr>
          <w:rFonts w:hint="eastAsia"/>
          <w:b/>
          <w:sz w:val="21"/>
        </w:rPr>
        <w:t>，50430</w:t>
      </w:r>
      <w:r>
        <w:rPr>
          <w:b/>
          <w:sz w:val="21"/>
        </w:rPr>
        <w:t>, EMS</w:t>
      </w:r>
      <w:r>
        <w:rPr>
          <w:rFonts w:hint="eastAsia"/>
          <w:b/>
          <w:sz w:val="21"/>
        </w:rPr>
        <w:t>，</w:t>
      </w:r>
      <w:r>
        <w:rPr>
          <w:b/>
          <w:sz w:val="21"/>
        </w:rPr>
        <w:t>OHSMS</w:t>
      </w:r>
      <w:r>
        <w:rPr>
          <w:rFonts w:hint="eastAsia"/>
          <w:b/>
          <w:bCs/>
          <w:sz w:val="21"/>
        </w:rPr>
        <w:t>），在相应的</w:t>
      </w:r>
      <w:r>
        <w:rPr>
          <w:rFonts w:hint="eastAsia"/>
          <w:b/>
          <w:sz w:val="18"/>
          <w:szCs w:val="18"/>
        </w:rPr>
        <w:t>□</w:t>
      </w:r>
      <w:r>
        <w:rPr>
          <w:rFonts w:hint="eastAsia"/>
          <w:b/>
          <w:sz w:val="21"/>
        </w:rPr>
        <w:t>内划“√”；</w:t>
      </w:r>
    </w:p>
    <w:p>
      <w:pPr>
        <w:spacing w:line="320" w:lineRule="exact"/>
        <w:ind w:left="215" w:hanging="215" w:hangingChars="102"/>
        <w:rPr>
          <w:b/>
          <w:bCs/>
          <w:sz w:val="21"/>
        </w:rPr>
      </w:pPr>
      <w:r>
        <w:rPr>
          <w:b/>
          <w:sz w:val="21"/>
        </w:rPr>
        <w:t xml:space="preserve">3. </w:t>
      </w:r>
      <w:r>
        <w:rPr>
          <w:rFonts w:hint="eastAsia"/>
          <w:b/>
          <w:color w:val="000000"/>
          <w:sz w:val="21"/>
        </w:rPr>
        <w:t>“括号”内属于本报告基本要求的内容，除按要求填写外，未</w:t>
      </w:r>
      <w:r>
        <w:rPr>
          <w:rFonts w:hint="eastAsia"/>
          <w:b/>
          <w:sz w:val="21"/>
        </w:rPr>
        <w:t>说明的一般应说明负面的发现和潜在的问题或审核组认为应该指明的情况，内容多时可附页；</w:t>
      </w:r>
    </w:p>
    <w:p>
      <w:pPr>
        <w:spacing w:line="320" w:lineRule="exact"/>
        <w:ind w:left="316" w:hanging="316" w:hangingChars="150"/>
        <w:rPr>
          <w:b/>
          <w:sz w:val="21"/>
        </w:rPr>
      </w:pPr>
      <w:r>
        <w:rPr>
          <w:b/>
          <w:sz w:val="21"/>
        </w:rPr>
        <w:t xml:space="preserve">4. </w:t>
      </w:r>
      <w:r>
        <w:rPr>
          <w:rFonts w:hint="eastAsia"/>
          <w:b/>
          <w:sz w:val="21"/>
        </w:rPr>
        <w:t>公正性声明和审核报告签字处需本人亲笔签名。</w:t>
      </w:r>
    </w:p>
    <w:p>
      <w:pPr>
        <w:snapToGrid w:val="0"/>
        <w:jc w:val="left"/>
        <w:rPr>
          <w:b/>
          <w:sz w:val="21"/>
          <w:szCs w:val="21"/>
        </w:rPr>
      </w:pPr>
    </w:p>
    <w:p>
      <w:pPr>
        <w:snapToGrid w:val="0"/>
        <w:jc w:val="left"/>
        <w:rPr>
          <w:rFonts w:ascii="方正仿宋简体" w:eastAsia="方正仿宋简体"/>
          <w:b/>
        </w:rPr>
      </w:pPr>
      <w:r>
        <w:rPr>
          <w:rFonts w:hint="eastAsia" w:ascii="宋体" w:hAnsi="宋体"/>
          <w:b/>
          <w:sz w:val="26"/>
          <w:szCs w:val="26"/>
        </w:rPr>
        <w:t>十八</w:t>
      </w:r>
      <w:r>
        <w:rPr>
          <w:rFonts w:hint="eastAsia" w:ascii="方正仿宋简体" w:eastAsia="方正仿宋简体"/>
          <w:b/>
        </w:rPr>
        <w:t>、</w:t>
      </w:r>
      <w:r>
        <w:rPr>
          <w:rFonts w:hint="eastAsia" w:ascii="仿宋" w:hAnsi="仿宋" w:eastAsia="仿宋"/>
          <w:kern w:val="24"/>
          <w:sz w:val="28"/>
          <w:szCs w:val="28"/>
        </w:rPr>
        <w:t>审核基于对可获得信息的抽样过程的免责声明</w:t>
      </w:r>
      <w:r>
        <w:rPr>
          <w:rFonts w:hint="eastAsia" w:ascii="方正仿宋简体" w:eastAsia="方正仿宋简体"/>
          <w:b/>
        </w:rPr>
        <w:t>：</w:t>
      </w:r>
    </w:p>
    <w:p>
      <w:pPr>
        <w:snapToGrid w:val="0"/>
        <w:ind w:firstLine="354" w:firstLineChars="147"/>
        <w:jc w:val="left"/>
        <w:rPr>
          <w:rFonts w:ascii="方正仿宋简体" w:eastAsia="方正仿宋简体"/>
          <w:b/>
        </w:rPr>
      </w:pPr>
    </w:p>
    <w:p>
      <w:pPr>
        <w:snapToGrid w:val="0"/>
        <w:ind w:firstLine="354" w:firstLineChars="147"/>
        <w:jc w:val="left"/>
        <w:rPr>
          <w:b/>
          <w:szCs w:val="24"/>
        </w:rPr>
      </w:pPr>
      <w:r>
        <w:rPr>
          <w:rFonts w:hint="eastAsia" w:ascii="方正仿宋简体" w:eastAsia="方正仿宋简体"/>
          <w:b/>
        </w:rPr>
        <w:t>本次审核基于抽样检查，因此，不可能包含受审核方管理体系覆盖的产品或服务的全部活动。仍可能有未发现的不符合项存在于目前管理体系的运行中。</w:t>
      </w:r>
    </w:p>
    <w:p/>
    <w:sectPr>
      <w:headerReference r:id="rId3" w:type="default"/>
      <w:pgSz w:w="11906" w:h="16838"/>
      <w:pgMar w:top="936" w:right="1077" w:bottom="936" w:left="1134" w:header="454"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Lucida Sans">
    <w:altName w:val="Lucida Sans Unicode"/>
    <w:panose1 w:val="00000000000000000000"/>
    <w:charset w:val="00"/>
    <w:family w:val="swiss"/>
    <w:pitch w:val="default"/>
    <w:sig w:usb0="00000000" w:usb1="00000000" w:usb2="00000000" w:usb3="00000000" w:csb0="00000001" w:csb1="00000000"/>
  </w:font>
  <w:font w:name="Lucida Sans Unicode">
    <w:panose1 w:val="020B0602030504020204"/>
    <w:charset w:val="00"/>
    <w:family w:val="auto"/>
    <w:pitch w:val="default"/>
    <w:sig w:usb0="80001AFF" w:usb1="0000396B" w:usb2="00000000" w:usb3="00000000" w:csb0="200000BF" w:csb1="D7F7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modern"/>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98" w:leftChars="-41" w:firstLine="810" w:firstLineChars="450"/>
      <w:jc w:val="left"/>
      <w:rPr>
        <w:rStyle w:val="14"/>
        <w:rFonts w:hint="default"/>
      </w:rPr>
    </w:pPr>
    <w:r>
      <w:pict>
        <v:shape id="_x0000_s3073" o:spid="_x0000_s3073"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4"/>
        <w:rFonts w:hint="default"/>
      </w:rPr>
      <w:t>北京国标联合认证有限公司</w:t>
    </w:r>
    <w:r>
      <w:rPr>
        <w:rStyle w:val="14"/>
        <w:rFonts w:hint="default"/>
      </w:rPr>
      <w:tab/>
    </w:r>
    <w:r>
      <w:rPr>
        <w:rStyle w:val="14"/>
        <w:rFonts w:hint="default"/>
      </w:rPr>
      <w:tab/>
    </w:r>
    <w:r>
      <w:rPr>
        <w:rStyle w:val="14"/>
        <w:rFonts w:hint="default"/>
      </w:rPr>
      <w:tab/>
    </w:r>
  </w:p>
  <w:p>
    <w:r>
      <w:pict>
        <v:shape id="文本框 1" o:spid="_x0000_s3074" o:spt="202" type="#_x0000_t202" style="position:absolute;left:0pt;margin-left:554.75pt;margin-top:2.2pt;height:20.2pt;width:172pt;z-index:251659264;mso-width-relative:page;mso-height-relative:page;" stroked="f" coordsize="21600,21600">
          <v:path/>
          <v:fill focussize="0,0"/>
          <v:stroke on="f" joinstyle="miter"/>
          <v:imagedata o:title=""/>
          <o:lock v:ext="edit"/>
          <v:textbox>
            <w:txbxContent>
              <w:p>
                <w:r>
                  <w:rPr>
                    <w:rFonts w:hint="eastAsia"/>
                    <w:sz w:val="18"/>
                    <w:szCs w:val="18"/>
                  </w:rPr>
                  <w:t>ISC-B-II-1</w:t>
                </w:r>
                <w:r>
                  <w:rPr>
                    <w:sz w:val="18"/>
                    <w:szCs w:val="18"/>
                  </w:rPr>
                  <w:t>3</w:t>
                </w:r>
                <w:r>
                  <w:rPr>
                    <w:rFonts w:hint="eastAsia"/>
                    <w:sz w:val="18"/>
                    <w:szCs w:val="18"/>
                  </w:rPr>
                  <w:t>管理体系审核记录表(03版)</w:t>
                </w:r>
              </w:p>
            </w:txbxContent>
          </v:textbox>
        </v:shape>
      </w:pict>
    </w:r>
    <w:r>
      <w:rPr>
        <w:rStyle w:val="14"/>
        <w:rFonts w:hint="default"/>
        <w:w w:val="90"/>
      </w:rPr>
      <w:t>Beijing International Standard united Certification Co.,Ltd.</w:t>
    </w:r>
    <w:r>
      <w:rPr>
        <w:rFonts w:hint="eastAsia"/>
        <w:sz w:val="18"/>
        <w:szCs w:val="18"/>
      </w:rPr>
      <w:t>ISC-B-II-1</w:t>
    </w:r>
    <w:r>
      <w:rPr>
        <w:sz w:val="18"/>
        <w:szCs w:val="18"/>
      </w:rPr>
      <w:t>3</w:t>
    </w:r>
    <w:r>
      <w:rPr>
        <w:rFonts w:hint="eastAsia"/>
        <w:sz w:val="18"/>
        <w:szCs w:val="18"/>
      </w:rPr>
      <w:t>管理体系审核记录表(03版)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06EA223"/>
    <w:multiLevelType w:val="singleLevel"/>
    <w:tmpl w:val="406EA223"/>
    <w:lvl w:ilvl="0" w:tentative="0">
      <w:start w:val="2"/>
      <w:numFmt w:val="decimal"/>
      <w:suff w:val="nothing"/>
      <w:lvlText w:val="%1、"/>
      <w:lvlJc w:val="left"/>
    </w:lvl>
  </w:abstractNum>
  <w:abstractNum w:abstractNumId="1">
    <w:nsid w:val="4F3329BA"/>
    <w:multiLevelType w:val="multilevel"/>
    <w:tmpl w:val="4F3329BA"/>
    <w:lvl w:ilvl="0" w:tentative="0">
      <w:start w:val="1"/>
      <w:numFmt w:val="decimal"/>
      <w:lvlText w:val="（%1）"/>
      <w:lvlJc w:val="left"/>
      <w:pPr>
        <w:ind w:left="420" w:hanging="420"/>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0514FE7"/>
    <w:rsid w:val="2A3A657F"/>
    <w:rsid w:val="2AF409DB"/>
    <w:rsid w:val="59C35200"/>
    <w:rsid w:val="6F8A58B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9"/>
    <w:semiHidden/>
    <w:qFormat/>
    <w:uiPriority w:val="99"/>
    <w:rPr>
      <w:sz w:val="18"/>
      <w:szCs w:val="18"/>
    </w:rPr>
  </w:style>
  <w:style w:type="paragraph" w:styleId="4">
    <w:name w:val="footer"/>
    <w:basedOn w:val="1"/>
    <w:link w:val="10"/>
    <w:semiHidden/>
    <w:qFormat/>
    <w:uiPriority w:val="99"/>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rFonts w:ascii="Calibri" w:hAnsi="Calibri"/>
      <w:kern w:val="0"/>
      <w:sz w:val="18"/>
      <w:szCs w:val="18"/>
    </w:rPr>
  </w:style>
  <w:style w:type="table" w:styleId="7">
    <w:name w:val="Table Grid"/>
    <w:basedOn w:val="6"/>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批注框文本 Char"/>
    <w:link w:val="3"/>
    <w:semiHidden/>
    <w:qFormat/>
    <w:locked/>
    <w:uiPriority w:val="99"/>
    <w:rPr>
      <w:rFonts w:ascii="Times New Roman" w:hAnsi="Times New Roman" w:eastAsia="宋体" w:cs="Times New Roman"/>
      <w:sz w:val="18"/>
      <w:szCs w:val="18"/>
    </w:rPr>
  </w:style>
  <w:style w:type="character" w:customStyle="1" w:styleId="10">
    <w:name w:val="页脚 Char"/>
    <w:link w:val="4"/>
    <w:semiHidden/>
    <w:qFormat/>
    <w:locked/>
    <w:uiPriority w:val="99"/>
    <w:rPr>
      <w:rFonts w:ascii="Times New Roman" w:hAnsi="Times New Roman" w:eastAsia="宋体" w:cs="Times New Roman"/>
      <w:sz w:val="18"/>
      <w:szCs w:val="18"/>
    </w:rPr>
  </w:style>
  <w:style w:type="character" w:customStyle="1" w:styleId="11">
    <w:name w:val="页眉 Char"/>
    <w:link w:val="5"/>
    <w:qFormat/>
    <w:locked/>
    <w:uiPriority w:val="0"/>
    <w:rPr>
      <w:sz w:val="18"/>
    </w:rPr>
  </w:style>
  <w:style w:type="character" w:customStyle="1" w:styleId="12">
    <w:name w:val="页眉 Char1"/>
    <w:semiHidden/>
    <w:qFormat/>
    <w:uiPriority w:val="99"/>
    <w:rPr>
      <w:rFonts w:ascii="Times New Roman" w:hAnsi="Times New Roman" w:eastAsia="宋体" w:cs="Times New Roman"/>
      <w:sz w:val="18"/>
      <w:szCs w:val="18"/>
    </w:rPr>
  </w:style>
  <w:style w:type="paragraph" w:styleId="13">
    <w:name w:val="List Paragraph"/>
    <w:basedOn w:val="1"/>
    <w:qFormat/>
    <w:uiPriority w:val="99"/>
    <w:pPr>
      <w:ind w:firstLine="420" w:firstLineChars="200"/>
    </w:pPr>
    <w:rPr>
      <w:sz w:val="21"/>
      <w:szCs w:val="24"/>
    </w:rPr>
  </w:style>
  <w:style w:type="character" w:customStyle="1" w:styleId="14">
    <w:name w:val="Char Char1"/>
    <w:qFormat/>
    <w:locked/>
    <w:uiPriority w:val="0"/>
    <w:rPr>
      <w:rFonts w:hint="eastAsia" w:ascii="宋体" w:hAnsi="Courier New" w:eastAsia="宋体"/>
      <w:kern w:val="2"/>
      <w:sz w:val="21"/>
      <w:lang w:val="en-US" w:eastAsia="zh-CN" w:bidi="ar-SA"/>
    </w:rPr>
  </w:style>
  <w:style w:type="paragraph" w:customStyle="1" w:styleId="15">
    <w:name w:val="列出段落1"/>
    <w:basedOn w:val="1"/>
    <w:qFormat/>
    <w:uiPriority w:val="34"/>
    <w:pPr>
      <w:ind w:firstLine="420" w:firstLineChars="200"/>
    </w:pPr>
  </w:style>
  <w:style w:type="paragraph" w:customStyle="1" w:styleId="16">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emf"/><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5.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3074"/>
    <customShpInfo spid="_x0000_s2050"/>
    <customShpInfo spid="_x0000_s2051"/>
    <customShpInfo spid="_x0000_s205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10</Pages>
  <Words>642</Words>
  <Characters>3660</Characters>
  <Lines>30</Lines>
  <Paragraphs>8</Paragraphs>
  <TotalTime>0</TotalTime>
  <ScaleCrop>false</ScaleCrop>
  <LinksUpToDate>false</LinksUpToDate>
  <CharactersWithSpaces>4294</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2016-02-29T05:10:00Z</dcterms:created>
  <dc:creator>微软用户</dc:creator>
  <cp:lastModifiedBy>叶子</cp:lastModifiedBy>
  <cp:lastPrinted>2019-04-18T08:15:00Z</cp:lastPrinted>
  <dcterms:modified xsi:type="dcterms:W3CDTF">2021-07-13T14:20:17Z</dcterms:modified>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57C2B0FF99DA47EBB5A14C08E2FCF8B6</vt:lpwstr>
  </property>
</Properties>
</file>