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主管领导：韩宜林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陪同人员：邢灵侠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姜小清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职责和权限、目标指标方案、沟通、 运行控制、不符合及纠正措施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5.3/6.2/8.1/10.1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质量和环境、职业健康安全管理过程和管理绩效的监视测量，建立保存监视测量的记录;确保全公司计量、仪表装置的可靠运行。负责本部门“自校”监视和测量装置的控制和“强检”计量器具的管理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5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执行公司的总能源目标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万元产值综合能耗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0.62tce/万元、单位产品综合能耗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≤0.5tce/吨”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方案：生产部负责节能设计方案、落实《节能管理办法》、有责任人、时间表、措施验证等内容、符合规定；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查2020年能源目标指标已经实现；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2021年和2020年目标一样、查2021年至今目标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情况符合规定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能源支出情况：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2021、1~ 5、资金支出： 电力：1.061万、天然气：716.4万、蒸汽：5.32万、液氧：159.4万元；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0D72CA"/>
    <w:rsid w:val="0645411B"/>
    <w:rsid w:val="06544E5D"/>
    <w:rsid w:val="09F478E1"/>
    <w:rsid w:val="0C9C28B9"/>
    <w:rsid w:val="0CF657C0"/>
    <w:rsid w:val="0E687916"/>
    <w:rsid w:val="0E9A04E1"/>
    <w:rsid w:val="108219C2"/>
    <w:rsid w:val="126D43E8"/>
    <w:rsid w:val="14EB2E50"/>
    <w:rsid w:val="15BE305E"/>
    <w:rsid w:val="1AE01ED1"/>
    <w:rsid w:val="1C5A1168"/>
    <w:rsid w:val="1C7578EC"/>
    <w:rsid w:val="1D1A1A2F"/>
    <w:rsid w:val="317F1720"/>
    <w:rsid w:val="331E6C07"/>
    <w:rsid w:val="3AF217D4"/>
    <w:rsid w:val="3B52747C"/>
    <w:rsid w:val="3C2D68DB"/>
    <w:rsid w:val="3D442811"/>
    <w:rsid w:val="3E66760B"/>
    <w:rsid w:val="40597BA9"/>
    <w:rsid w:val="40736A47"/>
    <w:rsid w:val="42337D07"/>
    <w:rsid w:val="4689146B"/>
    <w:rsid w:val="500E410B"/>
    <w:rsid w:val="52DC6C84"/>
    <w:rsid w:val="543B094A"/>
    <w:rsid w:val="56EA59A1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34A5D4A"/>
    <w:rsid w:val="68BA6FD9"/>
    <w:rsid w:val="698220FD"/>
    <w:rsid w:val="70D4484D"/>
    <w:rsid w:val="71266975"/>
    <w:rsid w:val="73927031"/>
    <w:rsid w:val="789077A0"/>
    <w:rsid w:val="78B27ED5"/>
    <w:rsid w:val="7C511CAA"/>
    <w:rsid w:val="7E672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Body Text"/>
    <w:basedOn w:val="1"/>
    <w:qFormat/>
    <w:uiPriority w:val="0"/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2021-07-13T09:27:14Z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6BF28CD1886245819832781EB1035794</vt:lpwstr>
  </property>
</Properties>
</file>