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过程与活动、</w:t>
            </w:r>
          </w:p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受审核部门：采购部       主管领导：孙成法          陪同人员：刘克新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审核员：姜小清           审核时间：2021.7.15</w:t>
            </w:r>
            <w:bookmarkStart w:id="0" w:name="_GoBack"/>
            <w:bookmarkEnd w:id="0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职责和权限、目标指标方案、运行控制、能源采购及合格供方评价、合同评审、不符合及纠正措施5.3/6.2/8.1/8.3/9.1.1/10.1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2160" w:type="dxa"/>
          </w:tcPr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组织的岗位、职责和权限</w:t>
            </w:r>
          </w:p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5.3</w:t>
            </w:r>
          </w:p>
        </w:tc>
        <w:tc>
          <w:tcPr>
            <w:tcW w:w="10004" w:type="dxa"/>
          </w:tcPr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部主要负责人：孙成法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；</w:t>
            </w:r>
          </w:p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主要工作内容和职责权限：</w:t>
            </w:r>
          </w:p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负责合格供方评定及物资采购工作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；</w:t>
            </w:r>
          </w:p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能源、设备的采购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；</w:t>
            </w:r>
          </w:p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外包方能源绩效监视、管理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160" w:type="dxa"/>
          </w:tcPr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目标，能源指标及其实现的策划</w:t>
            </w:r>
          </w:p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6.2 </w:t>
            </w:r>
          </w:p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</w:tcPr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部门能源目标“节能设备采购率95%以上、涉及节能标准执行率100%”；</w:t>
            </w:r>
          </w:p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日常注意节能节水节电、注意做好合格供方评价、材料物料的采购及能源采购符合公司规定；</w:t>
            </w:r>
          </w:p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查2020年以来能源目标已经实现；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2160" w:type="dxa"/>
            <w:vAlign w:val="top"/>
          </w:tcPr>
          <w:p>
            <w:pPr>
              <w:snapToGrid w:val="0"/>
              <w:spacing w:line="320" w:lineRule="exact"/>
              <w:ind w:left="180" w:hanging="240" w:hanging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运行策划和控制</w:t>
            </w:r>
          </w:p>
          <w:p>
            <w:pPr>
              <w:snapToGrid w:val="0"/>
              <w:spacing w:line="320" w:lineRule="exact"/>
              <w:ind w:left="180" w:hanging="240" w:hanging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能源采购</w:t>
            </w:r>
          </w:p>
          <w:p>
            <w:pPr>
              <w:snapToGrid w:val="0"/>
              <w:spacing w:line="320" w:lineRule="exact"/>
              <w:ind w:left="180" w:hanging="240" w:hangingChars="1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数据采集</w:t>
            </w:r>
          </w:p>
        </w:tc>
        <w:tc>
          <w:tcPr>
            <w:tcW w:w="960" w:type="dxa"/>
            <w:vAlign w:val="top"/>
          </w:tcPr>
          <w:p>
            <w:pPr>
              <w:snapToGrid w:val="0"/>
              <w:spacing w:line="320" w:lineRule="exact"/>
              <w:ind w:left="180" w:hanging="240" w:hanging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8.1</w:t>
            </w:r>
          </w:p>
          <w:p>
            <w:pPr>
              <w:snapToGrid w:val="0"/>
              <w:spacing w:line="320" w:lineRule="exact"/>
              <w:ind w:left="180" w:hanging="240" w:hangingChars="1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8.3</w:t>
            </w:r>
          </w:p>
          <w:p>
            <w:pPr>
              <w:snapToGrid w:val="0"/>
              <w:spacing w:line="320" w:lineRule="exact"/>
              <w:ind w:left="180" w:hanging="240" w:hangingChars="1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6.6</w:t>
            </w:r>
          </w:p>
        </w:tc>
        <w:tc>
          <w:tcPr>
            <w:tcW w:w="10004" w:type="dxa"/>
            <w:vAlign w:val="top"/>
          </w:tcPr>
          <w:p>
            <w:pPr>
              <w:snapToGrid w:val="0"/>
              <w:spacing w:line="320" w:lineRule="exact"/>
              <w:ind w:left="180" w:hanging="241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办公现场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能源控制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</w:p>
          <w:p>
            <w:pPr>
              <w:snapToGrid w:val="0"/>
              <w:spacing w:line="320" w:lineRule="exact"/>
              <w:ind w:left="180" w:hanging="240" w:hanging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编制了《能源管理制度汇编》、《安全生产经济运行作业指导书汇编》包括“日常能源管理要求、生产设备的节能操作规定”等内容；</w:t>
            </w:r>
          </w:p>
          <w:p>
            <w:pPr>
              <w:snapToGrid w:val="0"/>
              <w:spacing w:line="320" w:lineRule="exact"/>
              <w:ind w:left="180" w:hanging="240" w:hanging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制了《节约能源管理办法》包括“管理机构与职责、节能基础管理、节能技术管理、节能技术措施、节能监测与管理、宣传、教育与培训”等；具体“加强耗能设备的使用和维护管理。对于严重超耗的设备，采取停运、封存、更新改造等措施，加以控制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采购过程：</w:t>
            </w:r>
          </w:p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提供《年度采购清单》其中主要能源使用具有影响的采购共“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”条、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电力、天然气、液氧、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机电设备等；</w:t>
            </w:r>
          </w:p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采购过程：</w:t>
            </w:r>
          </w:p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编制了《能源采购制度》（采购规程、招标文件、合同文件）确定各类能源产品的采购标准和规范、其中包含了“能源消耗标准”、“能源质量要求”、“入库质检要求”、“计量标准和验证要求”等信息；</w:t>
            </w:r>
          </w:p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另规定“能源的输配和储存”、规定输配和储存损耗；</w:t>
            </w:r>
          </w:p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提供了《合格供方名单》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包括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“年度评价”、供方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名称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、提供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物料及年度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评价内容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具体：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法律法规、政策、标准及其他要求；与整个用能系统的匹配程度；供应商自身的资质、售后服务、技术实力、经验、能源质量、过程控制能力、产品价格；</w:t>
            </w:r>
          </w:p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抽查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采购合同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”、内容“机电设备”、有质量要求、价格数量、违约责任等内容、双方确认、另查合同评审等内容均符合规定；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电</w:t>
            </w:r>
            <w:r>
              <w:rPr>
                <w:rFonts w:hint="eastAsia" w:cs="宋体"/>
                <w:sz w:val="24"/>
                <w:szCs w:val="24"/>
                <w:u w:val="single"/>
                <w:lang w:val="en-US" w:eastAsia="zh-CN"/>
              </w:rPr>
              <w:t>力及天然气及液氧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等通过政府相关部门指定做集中采购、基本符合规定；</w:t>
            </w:r>
          </w:p>
          <w:p>
            <w:pPr>
              <w:pStyle w:val="2"/>
              <w:ind w:left="0" w:leftChars="0" w:firstLine="0" w:firstLineChars="0"/>
              <w:rPr>
                <w:rFonts w:hint="default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能源采购数据：</w:t>
            </w:r>
          </w:p>
          <w:p>
            <w:pPr>
              <w:pStyle w:val="2"/>
              <w:ind w:left="0" w:leftChars="0" w:firstLine="0" w:firstLineChars="0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查《2021年至今 公司能源购进情况表》1~5月、电力15778490千瓦时、天然气2380233.8立方、热蒸汽221.47吨、液氧1669540公斤；——所有数据均有统计汇总、并及时上报；</w:t>
            </w:r>
          </w:p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能源绩效和EnMS的监视、测量、分析和评价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9.1.1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查《能源监视测量程序》规定的监测项目包括 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1.目标和能源指标（已经达成）；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采购能源的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能源绩效参数EnPI（S）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（同上6.6条款审核）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——主要指采购物料的能源验证情况、查基本符合规定；</w:t>
            </w:r>
          </w:p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不符合和纠正措施</w:t>
            </w:r>
          </w:p>
        </w:tc>
        <w:tc>
          <w:tcPr>
            <w:tcW w:w="960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10.1</w:t>
            </w:r>
          </w:p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编制了《纠正措施和预防措施通知单》包括“不符合采取措施控制并纠正；任何纠正措施的结果、不符合的原因 性质和采取的任何后续措施；确定是否存在或是否可能发生类似的不符合；实施任何所需的措施；评审所采取的任何纠正措施的有效性；必要时，对能源管理体系进行变更改”等内容；</w:t>
            </w:r>
          </w:p>
        </w:tc>
        <w:tc>
          <w:tcPr>
            <w:tcW w:w="1585" w:type="dxa"/>
            <w:vAlign w:val="top"/>
          </w:tcPr>
          <w:p/>
        </w:tc>
      </w:tr>
    </w:tbl>
    <w:p>
      <w:r>
        <w:ptab w:relativeTo="margin" w:alignment="center" w:leader="none"/>
      </w:r>
    </w:p>
    <w:p/>
    <w:p/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A3BCE"/>
    <w:rsid w:val="10883625"/>
    <w:rsid w:val="14BF31F1"/>
    <w:rsid w:val="1B9A63EB"/>
    <w:rsid w:val="1BBA6D12"/>
    <w:rsid w:val="20434BC1"/>
    <w:rsid w:val="204E6065"/>
    <w:rsid w:val="250B1D8D"/>
    <w:rsid w:val="289163DA"/>
    <w:rsid w:val="301A4D05"/>
    <w:rsid w:val="34442BDC"/>
    <w:rsid w:val="34D875B7"/>
    <w:rsid w:val="380026D1"/>
    <w:rsid w:val="38992321"/>
    <w:rsid w:val="3B244308"/>
    <w:rsid w:val="3FAA28AE"/>
    <w:rsid w:val="417764C6"/>
    <w:rsid w:val="4D305845"/>
    <w:rsid w:val="4D534E99"/>
    <w:rsid w:val="4DF567C6"/>
    <w:rsid w:val="5184369C"/>
    <w:rsid w:val="53F25BEA"/>
    <w:rsid w:val="5A6E46BF"/>
    <w:rsid w:val="5CF321CC"/>
    <w:rsid w:val="5DEE0416"/>
    <w:rsid w:val="60857AC5"/>
    <w:rsid w:val="60E45655"/>
    <w:rsid w:val="6A8C311A"/>
    <w:rsid w:val="6B61455A"/>
    <w:rsid w:val="6CE663D7"/>
    <w:rsid w:val="6F2B43E8"/>
    <w:rsid w:val="798952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spacing w:before="92"/>
      <w:ind w:left="980" w:firstLine="480"/>
      <w:jc w:val="left"/>
    </w:pPr>
    <w:rPr>
      <w:rFonts w:ascii="宋体" w:hAnsi="宋体" w:cs="宋体"/>
      <w:kern w:val="0"/>
      <w:sz w:val="24"/>
      <w:szCs w:val="24"/>
      <w:lang w:val="zh-CN" w:bidi="zh-CN"/>
    </w:rPr>
  </w:style>
  <w:style w:type="paragraph" w:styleId="3">
    <w:name w:val="Body Text Indent"/>
    <w:basedOn w:val="1"/>
    <w:next w:val="4"/>
    <w:unhideWhenUsed/>
    <w:qFormat/>
    <w:uiPriority w:val="0"/>
    <w:pPr>
      <w:spacing w:beforeLines="0" w:after="120" w:afterLines="0"/>
      <w:ind w:left="200" w:leftChars="200"/>
    </w:pPr>
    <w:rPr>
      <w:rFonts w:hint="default"/>
      <w:sz w:val="24"/>
    </w:rPr>
  </w:style>
  <w:style w:type="paragraph" w:styleId="4">
    <w:name w:val="toc 3"/>
    <w:basedOn w:val="1"/>
    <w:next w:val="1"/>
    <w:unhideWhenUsed/>
    <w:qFormat/>
    <w:uiPriority w:val="0"/>
    <w:pPr>
      <w:spacing w:beforeLines="0" w:afterLines="0"/>
      <w:ind w:left="400" w:leftChars="400"/>
    </w:pPr>
    <w:rPr>
      <w:rFonts w:hint="default"/>
      <w:sz w:val="21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2"/>
    <w:semiHidden/>
    <w:unhideWhenUsed/>
    <w:qFormat/>
    <w:uiPriority w:val="99"/>
    <w:pPr>
      <w:autoSpaceDE/>
      <w:autoSpaceDN/>
      <w:spacing w:before="0" w:after="120"/>
      <w:ind w:left="0" w:firstLine="420" w:firstLineChars="10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paragraph" w:styleId="10">
    <w:name w:val="Body Text First Indent 2"/>
    <w:basedOn w:val="3"/>
    <w:next w:val="1"/>
    <w:unhideWhenUsed/>
    <w:qFormat/>
    <w:uiPriority w:val="0"/>
    <w:pPr>
      <w:autoSpaceDE w:val="0"/>
      <w:autoSpaceDN w:val="0"/>
      <w:adjustRightInd w:val="0"/>
      <w:spacing w:beforeLines="0" w:after="0" w:afterLines="0" w:line="360" w:lineRule="auto"/>
      <w:ind w:left="0" w:firstLine="420" w:firstLineChars="200"/>
      <w:jc w:val="left"/>
    </w:pPr>
    <w:rPr>
      <w:rFonts w:hint="default"/>
      <w:kern w:val="0"/>
      <w:sz w:val="24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4">
    <w:name w:val="页眉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8">
    <w:name w:val="正文001"/>
    <w:basedOn w:val="1"/>
    <w:qFormat/>
    <w:uiPriority w:val="0"/>
    <w:pPr>
      <w:spacing w:line="500" w:lineRule="exact"/>
      <w:ind w:firstLine="200" w:firstLineChars="200"/>
    </w:pPr>
    <w:rPr>
      <w:rFonts w:eastAsia="华文中宋" w:cs="华文中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23</TotalTime>
  <ScaleCrop>false</ScaleCrop>
  <LinksUpToDate>false</LinksUpToDate>
  <CharactersWithSpaces>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TonyJiang</cp:lastModifiedBy>
  <dcterms:modified xsi:type="dcterms:W3CDTF">2021-07-14T03:09:56Z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B990813B6CEF40078C0B91DE1BED4225</vt:lpwstr>
  </property>
</Properties>
</file>