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受审核方：河北腾飞通讯器材有限公司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18" w:type="dxa"/>
            <w:vAlign w:val="center"/>
          </w:tcPr>
          <w:p>
            <w:pPr>
              <w:jc w:val="center"/>
              <w:rPr>
                <w:b/>
                <w:sz w:val="21"/>
                <w:szCs w:val="21"/>
              </w:rPr>
            </w:pPr>
            <w:r>
              <w:rPr>
                <w:b/>
                <w:sz w:val="21"/>
                <w:szCs w:val="21"/>
              </w:rPr>
              <w:t>张星</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2020-N1EMS-1263722</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ISC-263722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default"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lang w:val="en-US" w:eastAsia="zh-CN"/>
              </w:rPr>
            </w:pPr>
            <w:r>
              <w:rPr>
                <w:rFonts w:hint="eastAsia"/>
                <w:b/>
                <w:lang w:val="en-US" w:eastAsia="zh-CN"/>
              </w:rPr>
              <w:t>/</w:t>
            </w: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eastAsia" w:eastAsia="宋体"/>
                <w:b/>
                <w:lang w:val="en-US" w:eastAsia="zh-CN"/>
              </w:rPr>
            </w:pPr>
            <w:r>
              <w:rPr>
                <w:rFonts w:hint="eastAsia"/>
                <w:b/>
                <w:lang w:val="en-US" w:eastAsia="zh-CN"/>
              </w:rPr>
              <w:t>/</w:t>
            </w: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w:t>
      </w:r>
      <w:r>
        <w:rPr>
          <w:rFonts w:hint="eastAsia" w:ascii="Times New Roman" w:hAnsi="Times New Roman" w:cs="Times New Roman"/>
          <w:b/>
          <w:sz w:val="21"/>
          <w:szCs w:val="21"/>
          <w:u w:val="single"/>
        </w:rPr>
        <w:t>是否持续满足要求，以确定是否推荐保持认证资格</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河北腾飞通讯器材有限公司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任丘市麻家坞镇南马庄</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062550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任丘市麻家坞镇南马庄</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062550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任丘市麻家坞镇南马庄</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062550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马增杰</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13127383444</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马增杰</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马增杰</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2021年07月11日 上午至2021年07月11日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：线路铁附件、电力金具、井具、标识标牌、塑料管材、钢绞线、油木杆、水泥制品、电力拉线护套、高低压电器的销售及其场所所涉及的环境管理活动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29.12.00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2023.2.10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2021.1.11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val="en-US" w:eastAsia="zh-CN"/>
        </w:rPr>
        <w:t xml:space="preserve"> 无分场所</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生产┄┄）是线路铁附件、电力金具、井具、标识标牌、塑料管材、钢绞线、油木杆、水泥制品、电力拉线护套、高低压电器的销售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lang w:val="en-US" w:eastAsia="zh-CN"/>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lang w:val="en-US" w:eastAsia="zh-CN"/>
              </w:rPr>
              <w:t>2.</w:t>
            </w: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sz w:val="21"/>
                <w:szCs w:val="21"/>
              </w:rPr>
              <w:t>公司确定了与</w:t>
            </w:r>
            <w:r>
              <w:rPr>
                <w:rFonts w:hint="eastAsia"/>
                <w:sz w:val="21"/>
                <w:szCs w:val="21"/>
                <w:lang w:val="en-US" w:eastAsia="zh-CN"/>
              </w:rPr>
              <w:t>环境</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b/>
                <w:spacing w:val="-10"/>
                <w:sz w:val="21"/>
                <w:szCs w:val="21"/>
                <w:lang w:val="en-US" w:eastAsia="zh-CN"/>
              </w:rPr>
              <w:t>3.</w:t>
            </w:r>
            <w:r>
              <w:rPr>
                <w:rFonts w:hint="eastAsia" w:ascii="宋体" w:hAnsi="宋体"/>
                <w:b/>
                <w:sz w:val="21"/>
                <w:szCs w:val="21"/>
                <w:lang w:val="en-US" w:eastAsia="zh-CN"/>
              </w:rPr>
              <w:t>环境</w:t>
            </w:r>
            <w:r>
              <w:rPr>
                <w:rFonts w:hint="eastAsia" w:ascii="宋体" w:hAnsi="宋体"/>
                <w:b/>
                <w:sz w:val="21"/>
                <w:szCs w:val="21"/>
              </w:rPr>
              <w:t>方针（组织</w:t>
            </w:r>
            <w:r>
              <w:rPr>
                <w:rFonts w:hint="eastAsia"/>
                <w:b/>
                <w:sz w:val="21"/>
                <w:szCs w:val="21"/>
              </w:rPr>
              <w:t>方针</w:t>
            </w:r>
            <w:r>
              <w:rPr>
                <w:rFonts w:hint="eastAsia" w:ascii="宋体" w:hAnsi="宋体"/>
                <w:b/>
                <w:sz w:val="21"/>
                <w:szCs w:val="21"/>
              </w:rPr>
              <w:t>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1.</w:t>
            </w:r>
            <w:r>
              <w:rPr>
                <w:rFonts w:hint="eastAsia"/>
                <w:sz w:val="21"/>
                <w:szCs w:val="21"/>
                <w:lang w:eastAsia="zh-CN"/>
              </w:rPr>
              <w:t>环境</w:t>
            </w:r>
            <w:r>
              <w:rPr>
                <w:rFonts w:hint="eastAsia"/>
                <w:sz w:val="21"/>
                <w:szCs w:val="21"/>
              </w:rPr>
              <w:t>方针：</w:t>
            </w:r>
            <w:r>
              <w:rPr>
                <w:rFonts w:hint="eastAsia" w:ascii="Times New Roman" w:hAnsi="Times New Roman" w:cs="Times New Roman"/>
                <w:sz w:val="21"/>
                <w:szCs w:val="21"/>
                <w:lang w:eastAsia="zh-CN"/>
              </w:rPr>
              <w:t>科学管理，遵守法规，预防污染，持续改进</w:t>
            </w:r>
            <w:r>
              <w:rPr>
                <w:rFonts w:hint="eastAsia"/>
                <w:sz w:val="21"/>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2.</w:t>
            </w:r>
            <w:r>
              <w:rPr>
                <w:rFonts w:hint="eastAsia"/>
                <w:sz w:val="21"/>
                <w:szCs w:val="21"/>
                <w:lang w:eastAsia="zh-CN"/>
              </w:rPr>
              <w:t>环境</w:t>
            </w:r>
            <w:r>
              <w:rPr>
                <w:rFonts w:hint="eastAsia"/>
                <w:sz w:val="21"/>
                <w:szCs w:val="21"/>
              </w:rPr>
              <w:t>方针与企业的经营宗旨相适应，协调；</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分别从顾客过程、公司内部、外部供方等方面</w:t>
            </w:r>
            <w:r>
              <w:rPr>
                <w:rFonts w:hint="eastAsia"/>
                <w:sz w:val="21"/>
                <w:szCs w:val="21"/>
              </w:rPr>
              <w:t>识别了必要的风险和机遇，如：方针和目标变更的需求，产品标准变更，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如针对</w:t>
            </w:r>
            <w:r>
              <w:rPr>
                <w:rFonts w:hint="eastAsia"/>
                <w:sz w:val="21"/>
                <w:szCs w:val="21"/>
                <w:lang w:eastAsia="zh-CN"/>
              </w:rPr>
              <w:t>顾客需求</w:t>
            </w:r>
            <w:r>
              <w:rPr>
                <w:rFonts w:hint="eastAsia"/>
                <w:sz w:val="21"/>
                <w:szCs w:val="21"/>
              </w:rPr>
              <w:t>的变更，由</w:t>
            </w:r>
            <w:r>
              <w:rPr>
                <w:rFonts w:hint="eastAsia"/>
                <w:sz w:val="21"/>
                <w:szCs w:val="21"/>
                <w:lang w:val="en-US" w:eastAsia="zh-CN"/>
              </w:rPr>
              <w:t>供销</w:t>
            </w:r>
            <w:r>
              <w:rPr>
                <w:rFonts w:hint="eastAsia"/>
                <w:sz w:val="21"/>
                <w:szCs w:val="21"/>
                <w:lang w:eastAsia="zh-CN"/>
              </w:rPr>
              <w:t>部紧密与客户沟通</w:t>
            </w:r>
            <w:r>
              <w:rPr>
                <w:rFonts w:hint="eastAsia"/>
                <w:sz w:val="21"/>
                <w:szCs w:val="21"/>
              </w:rPr>
              <w:t>，是否有更新的需求</w:t>
            </w:r>
            <w:r>
              <w:rPr>
                <w:rFonts w:hint="eastAsia"/>
                <w:sz w:val="21"/>
                <w:szCs w:val="21"/>
                <w:lang w:eastAsia="zh-CN"/>
              </w:rPr>
              <w:t>，</w:t>
            </w:r>
            <w:r>
              <w:rPr>
                <w:rFonts w:hint="eastAsia"/>
                <w:sz w:val="21"/>
                <w:szCs w:val="21"/>
                <w:lang w:val="en-US" w:eastAsia="zh-CN"/>
              </w:rPr>
              <w:t>经查</w:t>
            </w:r>
            <w:r>
              <w:rPr>
                <w:rFonts w:hint="eastAsia"/>
                <w:sz w:val="21"/>
                <w:szCs w:val="21"/>
              </w:rPr>
              <w:t>暂无变更需求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pacing w:val="-8"/>
                <w:sz w:val="21"/>
                <w:szCs w:val="21"/>
              </w:rPr>
            </w:pPr>
            <w:r>
              <w:rPr>
                <w:rFonts w:hint="eastAsia"/>
                <w:b/>
                <w:sz w:val="21"/>
                <w:szCs w:val="21"/>
                <w:lang w:val="en-US" w:eastAsia="zh-CN"/>
              </w:rPr>
              <w:t>6</w:t>
            </w:r>
            <w:r>
              <w:rPr>
                <w:b/>
                <w:sz w:val="21"/>
                <w:szCs w:val="21"/>
              </w:rPr>
              <w:t>.</w:t>
            </w:r>
            <w:r>
              <w:rPr>
                <w:b/>
                <w:spacing w:val="-12"/>
                <w:sz w:val="21"/>
                <w:szCs w:val="21"/>
              </w:rPr>
              <w:t>EMS</w:t>
            </w:r>
            <w:r>
              <w:rPr>
                <w:rFonts w:hint="eastAsia" w:ascii="宋体" w:hAnsi="宋体"/>
                <w:b/>
                <w:spacing w:val="-12"/>
                <w:sz w:val="21"/>
                <w:szCs w:val="21"/>
              </w:rPr>
              <w:t>环境因素</w:t>
            </w:r>
            <w:r>
              <w:rPr>
                <w:rFonts w:hint="eastAsia" w:ascii="宋体" w:hAnsi="宋体"/>
                <w:b/>
                <w:spacing w:val="-12"/>
                <w:sz w:val="21"/>
                <w:szCs w:val="21"/>
                <w:lang w:eastAsia="zh-CN"/>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val="en-US" w:eastAsia="zh-CN"/>
              </w:rPr>
              <w:t>办公室/供销部根据部门所涉及的环境因素进行识别，并评价出重要环境因素，提供环境因素评价记录，目前环境因素识别基本完整，评价的重要环境因素为资源的消耗；固体废弃物排放、潜在火灾事故的发生，</w:t>
            </w:r>
            <w:r>
              <w:rPr>
                <w:rFonts w:hint="eastAsia"/>
                <w:sz w:val="21"/>
                <w:szCs w:val="21"/>
                <w:lang w:val="en-GB" w:eastAsia="zh-CN"/>
              </w:rPr>
              <w:t>环境因素识别评价符合要求。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spacing w:val="-4"/>
                <w:sz w:val="21"/>
                <w:szCs w:val="21"/>
              </w:rPr>
            </w:pPr>
            <w:r>
              <w:rPr>
                <w:rFonts w:hint="eastAsia" w:ascii="宋体" w:hAnsi="宋体"/>
                <w:b/>
                <w:spacing w:val="-4"/>
                <w:sz w:val="21"/>
                <w:szCs w:val="21"/>
                <w:lang w:val="en-US" w:eastAsia="zh-CN"/>
              </w:rPr>
              <w:t>8.</w:t>
            </w:r>
            <w:r>
              <w:rPr>
                <w:rFonts w:hint="eastAsia" w:ascii="宋体" w:hAnsi="宋体"/>
                <w:b/>
                <w:spacing w:val="-4"/>
                <w:sz w:val="21"/>
                <w:szCs w:val="21"/>
              </w:rPr>
              <w:t>法律法规及其他要求</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textAlignment w:val="auto"/>
              <w:rPr>
                <w:rFonts w:ascii="宋体"/>
                <w:b w:val="0"/>
                <w:bCs/>
                <w:szCs w:val="21"/>
                <w:u w:val="single"/>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rPr>
              <w:t>获取法律法规项，</w:t>
            </w:r>
            <w:r>
              <w:rPr>
                <w:rFonts w:hint="eastAsia" w:ascii="宋体" w:hAnsi="宋体"/>
                <w:b w:val="0"/>
                <w:bCs/>
                <w:szCs w:val="21"/>
                <w:lang w:eastAsia="zh-CN"/>
              </w:rPr>
              <w:t>☑</w:t>
            </w:r>
            <w:r>
              <w:rPr>
                <w:rFonts w:hint="eastAsia" w:ascii="宋体" w:hAnsi="宋体"/>
                <w:b w:val="0"/>
                <w:bCs/>
                <w:szCs w:val="21"/>
              </w:rPr>
              <w:t>法律法规获取充分</w:t>
            </w:r>
            <w:r>
              <w:rPr>
                <w:rFonts w:ascii="宋体"/>
                <w:b w:val="0"/>
                <w:bCs/>
                <w:szCs w:val="21"/>
                <w:u w:val="single"/>
              </w:rPr>
              <w:t xml:space="preserve"> </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textAlignment w:val="auto"/>
              <w:rPr>
                <w:rFonts w:ascii="宋体"/>
                <w:b w:val="0"/>
                <w:bCs/>
                <w:szCs w:val="21"/>
              </w:rPr>
            </w:pPr>
            <w:r>
              <w:rPr>
                <w:rFonts w:hint="eastAsia" w:ascii="宋体"/>
                <w:b w:val="0"/>
                <w:bCs/>
                <w:szCs w:val="21"/>
                <w:u w:val="none"/>
                <w:lang w:eastAsia="zh-CN"/>
              </w:rPr>
              <w:t>（</w:t>
            </w:r>
            <w:r>
              <w:rPr>
                <w:rFonts w:hint="eastAsia" w:ascii="宋体"/>
                <w:b w:val="0"/>
                <w:bCs/>
                <w:szCs w:val="21"/>
                <w:u w:val="none"/>
                <w:lang w:val="en-US" w:eastAsia="zh-CN"/>
              </w:rPr>
              <w:t>2</w:t>
            </w:r>
            <w:r>
              <w:rPr>
                <w:rFonts w:hint="eastAsia" w:ascii="宋体"/>
                <w:b w:val="0"/>
                <w:bCs/>
                <w:szCs w:val="21"/>
                <w:u w:val="none"/>
                <w:lang w:eastAsia="zh-CN"/>
              </w:rPr>
              <w:t>）</w:t>
            </w:r>
            <w:r>
              <w:rPr>
                <w:rFonts w:hint="eastAsia" w:ascii="宋体" w:hAnsi="宋体"/>
                <w:b w:val="0"/>
                <w:bCs/>
                <w:szCs w:val="21"/>
              </w:rPr>
              <w:t>结合公司的</w:t>
            </w:r>
            <w:r>
              <w:rPr>
                <w:rFonts w:hint="eastAsia" w:ascii="宋体" w:hAnsi="宋体"/>
                <w:b w:val="0"/>
                <w:bCs/>
                <w:szCs w:val="21"/>
                <w:lang w:eastAsia="zh-CN"/>
              </w:rPr>
              <w:t>☑</w:t>
            </w:r>
            <w:r>
              <w:rPr>
                <w:rFonts w:hint="eastAsia" w:ascii="宋体" w:hAnsi="宋体"/>
                <w:b w:val="0"/>
                <w:bCs/>
                <w:szCs w:val="21"/>
              </w:rPr>
              <w:t>产品</w:t>
            </w:r>
            <w:r>
              <w:rPr>
                <w:rFonts w:ascii="宋体" w:hAnsi="宋体"/>
                <w:b w:val="0"/>
                <w:bCs/>
                <w:szCs w:val="21"/>
              </w:rPr>
              <w:t>/</w:t>
            </w:r>
            <w:r>
              <w:rPr>
                <w:rFonts w:hint="eastAsia" w:ascii="宋体" w:hAnsi="宋体"/>
                <w:b w:val="0"/>
                <w:bCs/>
                <w:szCs w:val="21"/>
              </w:rPr>
              <w:t>服务</w:t>
            </w:r>
            <w:r>
              <w:rPr>
                <w:rFonts w:hint="eastAsia" w:ascii="宋体" w:hAnsi="宋体"/>
                <w:b w:val="0"/>
                <w:bCs/>
                <w:szCs w:val="21"/>
                <w:lang w:eastAsia="zh-CN"/>
              </w:rPr>
              <w:t>☑</w:t>
            </w:r>
            <w:r>
              <w:rPr>
                <w:rFonts w:hint="eastAsia" w:ascii="宋体" w:hAnsi="宋体"/>
                <w:b w:val="0"/>
                <w:bCs/>
                <w:szCs w:val="21"/>
              </w:rPr>
              <w:t>环境因素□危险源，</w:t>
            </w:r>
            <w:r>
              <w:rPr>
                <w:rFonts w:hint="eastAsia" w:ascii="宋体" w:hAnsi="宋体"/>
                <w:b w:val="0"/>
                <w:bCs/>
                <w:szCs w:val="21"/>
                <w:lang w:eastAsia="zh-CN"/>
              </w:rPr>
              <w:t>☑</w:t>
            </w:r>
            <w:r>
              <w:rPr>
                <w:rFonts w:hint="eastAsia" w:ascii="宋体" w:hAnsi="宋体"/>
                <w:b w:val="0"/>
                <w:bCs/>
                <w:szCs w:val="21"/>
              </w:rPr>
              <w:t>确定</w:t>
            </w:r>
            <w:r>
              <w:rPr>
                <w:rFonts w:ascii="宋体" w:hAnsi="宋体"/>
                <w:b w:val="0"/>
                <w:bCs/>
                <w:szCs w:val="21"/>
              </w:rPr>
              <w:t xml:space="preserve"> </w:t>
            </w:r>
            <w:r>
              <w:rPr>
                <w:rFonts w:hint="eastAsia" w:ascii="宋体" w:hAnsi="宋体"/>
                <w:b w:val="0"/>
                <w:bCs/>
                <w:szCs w:val="21"/>
              </w:rPr>
              <w:t>□未确定法律法规要求的具体条款，</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ind w:leftChars="0"/>
              <w:textAlignment w:val="auto"/>
              <w:rPr>
                <w:rFonts w:asci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3）</w:t>
            </w:r>
            <w:r>
              <w:rPr>
                <w:rFonts w:hint="eastAsia" w:ascii="宋体" w:hAnsi="宋体"/>
                <w:b w:val="0"/>
                <w:bCs/>
                <w:szCs w:val="21"/>
              </w:rPr>
              <w:t>法律法规的宣传方式：</w:t>
            </w:r>
            <w:r>
              <w:rPr>
                <w:rFonts w:hint="eastAsia" w:ascii="宋体" w:hAnsi="宋体"/>
                <w:b w:val="0"/>
                <w:bCs/>
                <w:szCs w:val="21"/>
                <w:lang w:val="en-US" w:eastAsia="zh-CN"/>
              </w:rPr>
              <w:t>培训</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ascii="宋体" w:hAnsi="宋体"/>
                <w:b w:val="0"/>
                <w:bCs/>
                <w:szCs w:val="21"/>
                <w:lang w:eastAsia="zh-CN"/>
              </w:rPr>
              <w:t>（</w:t>
            </w:r>
            <w:r>
              <w:rPr>
                <w:rFonts w:hint="eastAsia" w:ascii="宋体" w:hAnsi="宋体"/>
                <w:b w:val="0"/>
                <w:bCs/>
                <w:szCs w:val="21"/>
                <w:lang w:val="en-US" w:eastAsia="zh-CN"/>
              </w:rPr>
              <w:t>4</w:t>
            </w:r>
            <w:r>
              <w:rPr>
                <w:rFonts w:hint="eastAsia" w:ascii="宋体" w:hAnsi="宋体"/>
                <w:b w:val="0"/>
                <w:bCs/>
                <w:szCs w:val="21"/>
                <w:lang w:eastAsia="zh-CN"/>
              </w:rPr>
              <w:t>）</w:t>
            </w:r>
            <w:r>
              <w:rPr>
                <w:rFonts w:hint="eastAsia" w:ascii="宋体" w:hAnsi="宋体"/>
                <w:b w:val="0"/>
                <w:bCs/>
                <w:szCs w:val="21"/>
              </w:rPr>
              <w:t>法律法规要求及时更新</w:t>
            </w:r>
            <w:r>
              <w:rPr>
                <w:rFonts w:hint="eastAsia"/>
                <w:sz w:val="21"/>
                <w:szCs w:val="21"/>
              </w:rPr>
              <w:t>，包括质量法、合同法、环境保护法、劳动法、消防法、环境空气质量标准、固体废弃物环境防治法、仓库防火安全管理规则、劳动保护用品管理规定、GB3095-2012《环境空气质量标准》、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sz w:val="21"/>
                <w:szCs w:val="21"/>
                <w:lang w:val="en-US" w:eastAsia="zh-CN"/>
              </w:rPr>
              <w:t>9.</w:t>
            </w:r>
            <w:r>
              <w:rPr>
                <w:rFonts w:hint="eastAsia" w:ascii="宋体" w:hAnsi="宋体"/>
                <w:b/>
                <w:sz w:val="21"/>
                <w:szCs w:val="21"/>
              </w:rPr>
              <w:t>目标、方案</w:t>
            </w: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可测量的目标，目标、方案的有效性，对质量目标的实现情况进行评价并叙述测量方法）</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ascii="Times New Roman" w:hAnsi="Times New Roman" w:cs="宋体"/>
                <w:sz w:val="21"/>
                <w:szCs w:val="21"/>
                <w:lang w:val="en-US" w:eastAsia="zh-CN"/>
              </w:rPr>
            </w:pPr>
            <w:r>
              <w:rPr>
                <w:rFonts w:hint="eastAsia" w:cs="宋体"/>
                <w:sz w:val="21"/>
                <w:szCs w:val="21"/>
                <w:lang w:val="en-US" w:eastAsia="zh-CN"/>
              </w:rPr>
              <w:t>公司</w:t>
            </w:r>
            <w:r>
              <w:rPr>
                <w:rFonts w:hint="eastAsia" w:ascii="Times New Roman" w:hAnsi="Times New Roman" w:cs="宋体"/>
                <w:sz w:val="21"/>
                <w:szCs w:val="21"/>
                <w:lang w:val="en-US" w:eastAsia="zh-CN"/>
              </w:rPr>
              <w:t>环境</w:t>
            </w:r>
            <w:r>
              <w:rPr>
                <w:rFonts w:hint="eastAsia" w:ascii="Times New Roman" w:hAnsi="Times New Roman" w:cs="宋体"/>
                <w:sz w:val="21"/>
                <w:szCs w:val="21"/>
              </w:rPr>
              <w:t>目标：</w:t>
            </w:r>
            <w:r>
              <w:rPr>
                <w:rFonts w:hint="eastAsia" w:ascii="Times New Roman" w:hAnsi="Times New Roman" w:cs="宋体"/>
                <w:sz w:val="21"/>
                <w:szCs w:val="21"/>
                <w:lang w:val="en-US" w:eastAsia="zh-CN"/>
              </w:rPr>
              <w:t>固体废物100%分类收集；杜绝火灾事故发生。</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eastAsia="zh-CN"/>
              </w:rPr>
              <w:t>季度</w:t>
            </w:r>
            <w:r>
              <w:rPr>
                <w:rFonts w:hint="eastAsia" w:ascii="Times New Roman" w:hAnsi="Times New Roman" w:cs="宋体"/>
                <w:sz w:val="21"/>
                <w:szCs w:val="21"/>
              </w:rPr>
              <w:t>考核一次，</w:t>
            </w:r>
            <w:r>
              <w:rPr>
                <w:rFonts w:hint="eastAsia" w:ascii="Times New Roman" w:hAnsi="Times New Roman" w:cs="宋体"/>
                <w:sz w:val="21"/>
                <w:szCs w:val="21"/>
                <w:lang w:eastAsia="zh-CN"/>
              </w:rPr>
              <w:t>查看</w:t>
            </w:r>
            <w:r>
              <w:rPr>
                <w:rFonts w:hint="eastAsia" w:cs="宋体"/>
                <w:sz w:val="21"/>
                <w:szCs w:val="21"/>
                <w:lang w:val="en-US" w:eastAsia="zh-CN"/>
              </w:rPr>
              <w:t>2020年</w:t>
            </w:r>
            <w:r>
              <w:rPr>
                <w:rFonts w:hint="eastAsia" w:ascii="Times New Roman" w:hAnsi="Times New Roman" w:cs="宋体"/>
                <w:sz w:val="21"/>
                <w:szCs w:val="21"/>
              </w:rPr>
              <w:t>考核结果，经查目标完成。</w:t>
            </w:r>
            <w:r>
              <w:rPr>
                <w:rFonts w:hint="eastAsia" w:ascii="Times New Roman" w:hAnsi="Times New Roman" w:cs="宋体"/>
                <w:sz w:val="21"/>
                <w:szCs w:val="21"/>
                <w:lang w:eastAsia="zh-CN"/>
              </w:rPr>
              <w:t>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sz w:val="21"/>
                <w:szCs w:val="21"/>
              </w:rPr>
            </w:pPr>
            <w:r>
              <w:rPr>
                <w:rFonts w:hint="eastAsia"/>
                <w:b/>
                <w:sz w:val="21"/>
                <w:szCs w:val="21"/>
                <w:lang w:val="en-US" w:eastAsia="zh-CN"/>
              </w:rPr>
              <w:t>8.</w:t>
            </w:r>
            <w:r>
              <w:rPr>
                <w:rFonts w:hint="eastAsia"/>
                <w:b/>
                <w:sz w:val="21"/>
                <w:szCs w:val="21"/>
              </w:rPr>
              <w:t>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r>
              <w:rPr>
                <w:rFonts w:hint="eastAsia" w:ascii="Times New Roman" w:hAnsi="Times New Roman"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Times New Roman" w:hAnsi="Times New Roman" w:cs="宋体"/>
                <w:sz w:val="21"/>
                <w:szCs w:val="21"/>
                <w:lang w:eastAsia="zh-CN"/>
              </w:rPr>
              <w:t>公司现有人员</w:t>
            </w:r>
            <w:r>
              <w:rPr>
                <w:rFonts w:hint="eastAsia" w:ascii="Times New Roman" w:hAnsi="Times New Roman" w:cs="宋体"/>
                <w:sz w:val="21"/>
                <w:szCs w:val="21"/>
                <w:lang w:val="en-US" w:eastAsia="zh-CN"/>
              </w:rPr>
              <w:t>1</w:t>
            </w:r>
            <w:r>
              <w:rPr>
                <w:rFonts w:hint="eastAsia" w:cs="宋体"/>
                <w:sz w:val="21"/>
                <w:szCs w:val="21"/>
                <w:lang w:val="en-US" w:eastAsia="zh-CN"/>
              </w:rPr>
              <w:t>5</w:t>
            </w:r>
            <w:r>
              <w:rPr>
                <w:rFonts w:hint="eastAsia" w:ascii="Times New Roman" w:hAnsi="Times New Roman" w:cs="宋体"/>
                <w:sz w:val="21"/>
                <w:szCs w:val="21"/>
                <w:lang w:val="en-US" w:eastAsia="zh-CN"/>
              </w:rPr>
              <w:t>人，其中管理人员</w:t>
            </w:r>
            <w:r>
              <w:rPr>
                <w:rFonts w:hint="eastAsia" w:cs="宋体"/>
                <w:sz w:val="21"/>
                <w:szCs w:val="21"/>
                <w:lang w:val="en-US" w:eastAsia="zh-CN"/>
              </w:rPr>
              <w:t>3</w:t>
            </w:r>
            <w:r>
              <w:rPr>
                <w:rFonts w:hint="eastAsia" w:ascii="Times New Roman" w:hAnsi="Times New Roman" w:cs="宋体"/>
                <w:sz w:val="21"/>
                <w:szCs w:val="21"/>
                <w:lang w:val="en-US" w:eastAsia="zh-CN"/>
              </w:rPr>
              <w:t>人，</w:t>
            </w:r>
            <w:r>
              <w:rPr>
                <w:rFonts w:hint="eastAsia" w:ascii="宋体" w:hAnsi="宋体"/>
                <w:sz w:val="21"/>
                <w:szCs w:val="21"/>
                <w:lang w:val="en-US" w:eastAsia="zh-CN"/>
              </w:rPr>
              <w:t>满足销售服务要求。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Times New Roman" w:hAnsi="Times New Roman" w:cs="宋体"/>
                <w:sz w:val="21"/>
                <w:szCs w:val="21"/>
                <w:lang w:val="en-US" w:eastAsia="zh-CN"/>
              </w:rPr>
              <w:t>配备办公桌、电话、沙发、计算机等办公设备，均可满足销售需要</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cs="宋体"/>
                <w:sz w:val="21"/>
                <w:szCs w:val="21"/>
              </w:rPr>
              <w:t>办</w:t>
            </w:r>
            <w:r>
              <w:rPr>
                <w:rFonts w:hint="eastAsia" w:ascii="Times New Roman" w:hAnsi="Times New Roman" w:cs="宋体"/>
                <w:sz w:val="21"/>
                <w:szCs w:val="21"/>
                <w:lang w:val="en-US" w:eastAsia="zh-CN"/>
              </w:rPr>
              <w:t>公经营地点位于任丘市麻家坞镇南马庄，办公区域面积100平米、库房200平米，工作环境良好，办公环境及设施保证现代化。</w:t>
            </w:r>
            <w:r>
              <w:rPr>
                <w:rFonts w:hint="eastAsia" w:ascii="Times New Roman" w:hAnsi="Times New Roman" w:cs="宋体"/>
                <w:sz w:val="21"/>
                <w:szCs w:val="21"/>
                <w:lang w:val="en-GB" w:eastAsia="zh-CN"/>
              </w:rPr>
              <w:t>查看经营活动场所及办公环境，设备摆放整齐有序，相应物品摆放在指定区域，现场工作环境通风良好，卫生干净，符合办公环境要求，办公</w:t>
            </w:r>
            <w:r>
              <w:rPr>
                <w:rFonts w:hint="eastAsia" w:ascii="Times New Roman" w:hAnsi="Times New Roman" w:cs="宋体"/>
                <w:sz w:val="21"/>
                <w:szCs w:val="21"/>
                <w:lang w:val="en-US" w:eastAsia="zh-CN"/>
              </w:rPr>
              <w:t>设备完好，维护保养基本得当，能够满足销售服务需要。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监视和测量资源</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numId w:val="0"/>
              </w:numPr>
              <w:kinsoku/>
              <w:wordWrap/>
              <w:overflowPunct/>
              <w:topLinePunct w:val="0"/>
              <w:autoSpaceDE/>
              <w:autoSpaceDN/>
              <w:bidi w:val="0"/>
              <w:adjustRightInd/>
              <w:snapToGrid/>
              <w:spacing w:line="360" w:lineRule="exact"/>
              <w:ind w:leftChars="0"/>
              <w:textAlignment w:val="auto"/>
              <w:rPr>
                <w:rFonts w:hint="eastAsia" w:ascii="宋体" w:hAnsi="宋体"/>
                <w:b/>
                <w:color w:val="000000"/>
                <w:sz w:val="21"/>
                <w:szCs w:val="21"/>
              </w:rPr>
            </w:pPr>
            <w:r>
              <w:rPr>
                <w:rFonts w:hint="eastAsia" w:ascii="宋体" w:hAnsi="宋体"/>
                <w:b/>
                <w:color w:val="000000"/>
                <w:sz w:val="21"/>
                <w:szCs w:val="21"/>
                <w:lang w:val="en-US" w:eastAsia="zh-CN"/>
              </w:rPr>
              <w:t>5.</w:t>
            </w:r>
            <w:r>
              <w:rPr>
                <w:rFonts w:hint="eastAsia" w:ascii="宋体" w:hAnsi="宋体"/>
                <w:b/>
                <w:color w:val="000000"/>
                <w:sz w:val="21"/>
                <w:szCs w:val="21"/>
              </w:rPr>
              <w:t>环保设施</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ascii="宋体" w:hAnsi="宋体"/>
                <w:b/>
                <w:color w:val="000000"/>
                <w:sz w:val="21"/>
                <w:szCs w:val="21"/>
                <w:lang w:val="en-US" w:eastAsia="zh-CN"/>
              </w:rPr>
              <w:t>灭火器、垃圾桶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sz w:val="21"/>
                <w:szCs w:val="21"/>
              </w:rPr>
            </w:pPr>
            <w:r>
              <w:rPr>
                <w:b/>
                <w:sz w:val="21"/>
                <w:szCs w:val="21"/>
              </w:rPr>
              <w:t xml:space="preserve">1. </w:t>
            </w:r>
            <w:r>
              <w:rPr>
                <w:rFonts w:hint="eastAsia"/>
                <w:b/>
                <w:sz w:val="21"/>
                <w:szCs w:val="21"/>
              </w:rPr>
              <w:t>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 xml:space="preserve">1. </w:t>
            </w:r>
            <w:r>
              <w:rPr>
                <w:rFonts w:hint="eastAsia"/>
                <w:sz w:val="21"/>
                <w:szCs w:val="21"/>
                <w:lang w:eastAsia="zh-CN"/>
              </w:rPr>
              <w:t>环境</w:t>
            </w:r>
            <w:r>
              <w:rPr>
                <w:rFonts w:hint="eastAsia"/>
                <w:sz w:val="21"/>
                <w:szCs w:val="21"/>
              </w:rPr>
              <w:t>方针：</w:t>
            </w:r>
            <w:r>
              <w:rPr>
                <w:rFonts w:hint="eastAsia" w:ascii="Times New Roman" w:hAnsi="Times New Roman" w:cs="Times New Roman"/>
                <w:sz w:val="21"/>
                <w:szCs w:val="21"/>
                <w:lang w:eastAsia="zh-CN"/>
              </w:rPr>
              <w:t>科学管理，遵守法规，预防污染，持续改进</w:t>
            </w:r>
            <w:r>
              <w:rPr>
                <w:rFonts w:hint="eastAsia"/>
                <w:sz w:val="21"/>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 xml:space="preserve">2. </w:t>
            </w:r>
            <w:r>
              <w:rPr>
                <w:rFonts w:hint="eastAsia"/>
                <w:sz w:val="21"/>
                <w:szCs w:val="21"/>
                <w:lang w:eastAsia="zh-CN"/>
              </w:rPr>
              <w:t>环境</w:t>
            </w:r>
            <w:r>
              <w:rPr>
                <w:rFonts w:hint="eastAsia"/>
                <w:sz w:val="21"/>
                <w:szCs w:val="21"/>
              </w:rPr>
              <w:t>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hint="eastAsia" w:ascii="楷体_GB2312" w:eastAsia="楷体_GB2312"/>
                <w:b/>
                <w:color w:val="000000"/>
                <w:sz w:val="20"/>
                <w:szCs w:val="20"/>
              </w:rPr>
            </w:pPr>
            <w:r>
              <w:rPr>
                <w:rFonts w:hint="eastAsia"/>
                <w:b/>
                <w:color w:val="000000"/>
                <w:sz w:val="20"/>
                <w:szCs w:val="20"/>
              </w:rPr>
              <w:t>2. 组织内部沟通的充分性与效果（OHSMS员工参与风险管理/健康安全事务的关心和影响力；组织对外联络关注顾客的感受情况、</w:t>
            </w:r>
            <w:r>
              <w:rPr>
                <w:b/>
                <w:color w:val="000000"/>
                <w:sz w:val="20"/>
                <w:szCs w:val="20"/>
              </w:rPr>
              <w:t>信息交流</w:t>
            </w:r>
            <w:r>
              <w:rPr>
                <w:rFonts w:hint="eastAsia"/>
                <w:b/>
                <w:color w:val="000000"/>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楷体_GB2312" w:eastAsia="楷体_GB2312"/>
                <w:b/>
                <w:color w:val="000000"/>
                <w:sz w:val="20"/>
                <w:szCs w:val="20"/>
              </w:rPr>
              <w:t>外部信息的接收、成文并答复的情况（E、S填写）：</w:t>
            </w:r>
            <w:r>
              <w:rPr>
                <w:rFonts w:hint="eastAsia" w:ascii="宋体" w:hAnsi="宋体" w:eastAsia="宋体" w:cs="宋体"/>
                <w:b w:val="0"/>
                <w:bCs/>
                <w:color w:val="000000"/>
                <w:sz w:val="21"/>
                <w:szCs w:val="21"/>
                <w:lang w:val="en-US" w:eastAsia="zh-CN"/>
              </w:rPr>
              <w:t>与</w:t>
            </w:r>
            <w:r>
              <w:rPr>
                <w:rFonts w:hint="eastAsia" w:ascii="宋体" w:hAnsi="宋体" w:eastAsia="宋体" w:cs="宋体"/>
                <w:b w:val="0"/>
                <w:bCs/>
                <w:sz w:val="21"/>
                <w:szCs w:val="21"/>
              </w:rPr>
              <w:t>上级主管部门的沟通，目前沟通都较为顺畅</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楷体_GB2312" w:eastAsia="楷体_GB2312"/>
                <w:b/>
                <w:color w:val="000000"/>
                <w:sz w:val="20"/>
                <w:szCs w:val="20"/>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pacing w:val="-8"/>
                <w:sz w:val="21"/>
                <w:szCs w:val="21"/>
              </w:rPr>
            </w:pPr>
            <w:r>
              <w:rPr>
                <w:rFonts w:hint="eastAsia"/>
                <w:b/>
                <w:color w:val="000000"/>
                <w:spacing w:val="-8"/>
                <w:sz w:val="21"/>
                <w:szCs w:val="21"/>
                <w:lang w:val="en-US" w:eastAsia="zh-CN"/>
              </w:rPr>
              <w:t>3.</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lang w:val="en-US" w:eastAsia="zh-CN"/>
              </w:rPr>
              <w:t>4</w:t>
            </w:r>
            <w:r>
              <w:rPr>
                <w:rFonts w:hint="eastAsia"/>
                <w:b/>
                <w:color w:val="000000"/>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val="en-GB"/>
              </w:rPr>
              <w:t>编制</w:t>
            </w:r>
            <w:r>
              <w:rPr>
                <w:rFonts w:hint="eastAsia"/>
                <w:sz w:val="21"/>
                <w:szCs w:val="21"/>
              </w:rPr>
              <w:t>环境安全运行控制程序，固体废弃物管理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查看办公区域干净整洁，配置灭火器等消防设施</w:t>
            </w:r>
            <w:r>
              <w:rPr>
                <w:rFonts w:hint="eastAsia"/>
                <w:b w:val="0"/>
                <w:bCs w:val="0"/>
                <w:sz w:val="21"/>
                <w:szCs w:val="21"/>
                <w:lang w:val="en-US" w:eastAsia="zh-CN"/>
              </w:rPr>
              <w:t>。经查符合要求。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sz w:val="20"/>
                <w:szCs w:val="20"/>
              </w:rPr>
            </w:pPr>
            <w:r>
              <w:rPr>
                <w:rFonts w:hint="eastAsia"/>
                <w:b/>
                <w:color w:val="000000"/>
                <w:sz w:val="20"/>
                <w:szCs w:val="20"/>
                <w:lang w:val="en-US" w:eastAsia="zh-CN"/>
              </w:rPr>
              <w:t>5.</w:t>
            </w:r>
            <w:r>
              <w:rPr>
                <w:rFonts w:hint="eastAsia"/>
                <w:b/>
                <w:color w:val="000000"/>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val="en-GB"/>
              </w:rPr>
              <w:t>编制应急准备和响应控制程序，识别的潜在意外紧急情况为火灾。编制了应急预案，组织了消防演练，提供了应急预案演练记录。对应急预案进行了评价，可行。经查符合要求</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lang w:val="en-US" w:eastAsia="zh-CN"/>
              </w:rPr>
              <w:t>6.</w:t>
            </w:r>
            <w:r>
              <w:rPr>
                <w:rFonts w:hint="eastAsia"/>
                <w:b/>
                <w:color w:val="000000"/>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0"/>
                <w:szCs w:val="20"/>
                <w:lang w:val="en-US" w:eastAsia="zh-CN"/>
              </w:rPr>
            </w:pPr>
            <w:r>
              <w:rPr>
                <w:rFonts w:hint="eastAsia"/>
                <w:b/>
                <w:color w:val="000000"/>
                <w:sz w:val="20"/>
                <w:szCs w:val="20"/>
                <w:lang w:val="en-US" w:eastAsia="zh-CN"/>
              </w:rPr>
              <w:t>7.</w:t>
            </w:r>
            <w:r>
              <w:rPr>
                <w:rFonts w:hint="eastAsia"/>
                <w:b/>
                <w:color w:val="000000"/>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2020年</w:t>
            </w:r>
            <w:r>
              <w:rPr>
                <w:rFonts w:hint="eastAsia"/>
                <w:sz w:val="21"/>
                <w:szCs w:val="21"/>
              </w:rPr>
              <w:t>考核结果，经查目标完成。并制定了管理方案，经查已完成，符合要求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b/>
                <w:sz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按照策划的安排于</w:t>
            </w:r>
            <w:r>
              <w:rPr>
                <w:sz w:val="21"/>
                <w:szCs w:val="21"/>
              </w:rPr>
              <w:t>20</w:t>
            </w:r>
            <w:r>
              <w:rPr>
                <w:rFonts w:hint="eastAsia"/>
                <w:sz w:val="21"/>
                <w:szCs w:val="21"/>
                <w:lang w:val="en-US" w:eastAsia="zh-CN"/>
              </w:rPr>
              <w:t>20年12月1日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按照策划的安排于</w:t>
            </w:r>
            <w:r>
              <w:rPr>
                <w:sz w:val="21"/>
                <w:szCs w:val="21"/>
              </w:rPr>
              <w:t>20</w:t>
            </w:r>
            <w:r>
              <w:rPr>
                <w:rFonts w:hint="eastAsia"/>
                <w:sz w:val="21"/>
                <w:szCs w:val="21"/>
                <w:lang w:val="en-US" w:eastAsia="zh-CN"/>
              </w:rPr>
              <w:t>20</w:t>
            </w:r>
            <w:r>
              <w:rPr>
                <w:rFonts w:hint="eastAsia" w:cs="宋体"/>
                <w:sz w:val="21"/>
                <w:szCs w:val="21"/>
              </w:rPr>
              <w:t>年</w:t>
            </w:r>
            <w:r>
              <w:rPr>
                <w:rFonts w:hint="eastAsia" w:cs="宋体"/>
                <w:sz w:val="21"/>
                <w:szCs w:val="21"/>
                <w:lang w:val="en-US" w:eastAsia="zh-CN"/>
              </w:rPr>
              <w:t>12</w:t>
            </w:r>
            <w:r>
              <w:rPr>
                <w:rFonts w:hint="eastAsia" w:cs="宋体"/>
                <w:sz w:val="21"/>
                <w:szCs w:val="21"/>
              </w:rPr>
              <w:t>月</w:t>
            </w:r>
            <w:r>
              <w:rPr>
                <w:rFonts w:hint="eastAsia"/>
                <w:sz w:val="21"/>
                <w:szCs w:val="21"/>
                <w:lang w:val="en-US" w:eastAsia="zh-CN"/>
              </w:rPr>
              <w:t>10</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val="0"/>
              <w:numPr>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3"/>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sz w:val="21"/>
                <w:szCs w:val="21"/>
              </w:rPr>
            </w:pPr>
            <w:r>
              <w:rPr>
                <w:b/>
                <w:sz w:val="21"/>
                <w:szCs w:val="21"/>
              </w:rPr>
              <w:t>1</w:t>
            </w:r>
            <w:r>
              <w:rPr>
                <w:rFonts w:hint="eastAsia"/>
                <w:b/>
                <w:sz w:val="21"/>
                <w:szCs w:val="21"/>
                <w:lang w:eastAsia="zh-CN"/>
              </w:rPr>
              <w:t>.</w:t>
            </w:r>
            <w:r>
              <w:rPr>
                <w:b/>
                <w:sz w:val="21"/>
                <w:szCs w:val="21"/>
              </w:rPr>
              <w:t xml:space="preserve"> </w:t>
            </w:r>
            <w:r>
              <w:rPr>
                <w:rFonts w:hint="eastAsia"/>
                <w:b/>
                <w:sz w:val="21"/>
                <w:szCs w:val="21"/>
              </w:rPr>
              <w:t>纠正措施的实施及效果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ind w:left="85" w:leftChars="0" w:hanging="85" w:hangingChars="50"/>
              <w:textAlignment w:val="auto"/>
              <w:rPr>
                <w:rFonts w:hint="eastAsia"/>
                <w:b/>
                <w:spacing w:val="-20"/>
                <w:sz w:val="21"/>
                <w:szCs w:val="21"/>
              </w:rPr>
            </w:pPr>
            <w:r>
              <w:rPr>
                <w:rFonts w:hint="eastAsia"/>
                <w:b/>
                <w:spacing w:val="-20"/>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120" w:leftChars="-50" w:firstLine="200" w:firstLineChars="100"/>
              <w:textAlignment w:val="auto"/>
              <w:rPr>
                <w:rFonts w:ascii="宋体" w:hAnsi="宋体"/>
                <w:b/>
                <w:sz w:val="21"/>
                <w:szCs w:val="21"/>
              </w:rPr>
            </w:pPr>
            <w:r>
              <w:rPr>
                <w:rFonts w:hint="eastAsia"/>
                <w:b w:val="0"/>
                <w:bCs/>
                <w:color w:val="000000"/>
                <w:sz w:val="20"/>
                <w:szCs w:val="20"/>
                <w:lang w:val="en-US" w:eastAsia="zh-CN"/>
              </w:rPr>
              <w:t>积</w:t>
            </w:r>
            <w:r>
              <w:rPr>
                <w:rFonts w:hint="eastAsia" w:ascii="Times New Roman" w:hAnsi="Times New Roman" w:cs="Times New Roman"/>
                <w:b w:val="0"/>
                <w:bCs/>
                <w:sz w:val="21"/>
                <w:szCs w:val="21"/>
                <w:lang w:val="en-US" w:eastAsia="zh-CN"/>
              </w:rPr>
              <w:t>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ind w:left="105" w:leftChars="0" w:hanging="105" w:hangingChars="50"/>
              <w:textAlignment w:val="auto"/>
              <w:rPr>
                <w:rFonts w:hint="eastAsia"/>
                <w:b/>
                <w:sz w:val="21"/>
                <w:szCs w:val="21"/>
              </w:rPr>
            </w:pPr>
            <w:r>
              <w:rPr>
                <w:rFonts w:hint="eastAsia"/>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120" w:leftChars="-50" w:firstLine="0" w:firstLineChars="0"/>
              <w:textAlignment w:val="auto"/>
              <w:rPr>
                <w:rFonts w:ascii="宋体" w:hAnsi="宋体"/>
                <w:b/>
                <w:sz w:val="21"/>
                <w:szCs w:val="21"/>
              </w:rPr>
            </w:pPr>
            <w:r>
              <w:rPr>
                <w:rFonts w:hint="eastAsia"/>
                <w:b w:val="0"/>
                <w:bCs/>
                <w:sz w:val="21"/>
                <w:szCs w:val="21"/>
                <w:lang w:val="en-US" w:eastAsia="zh-CN"/>
              </w:rPr>
              <w:t>上次不符合项为供销部8.1条款，本次审核未发现类似问题，经查针对上次不符合采取的措施有效。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noWrap w:val="0"/>
                  <w:vAlign w:val="center"/>
                </w:tcPr>
                <w:p>
                  <w:pPr>
                    <w:keepNext w:val="0"/>
                    <w:keepLines w:val="0"/>
                    <w:pageBreakBefore w:val="0"/>
                    <w:widowControl w:val="0"/>
                    <w:kinsoku/>
                    <w:wordWrap/>
                    <w:overflowPunct/>
                    <w:topLinePunct w:val="0"/>
                    <w:bidi w:val="0"/>
                    <w:snapToGrid/>
                    <w:spacing w:line="360" w:lineRule="exact"/>
                    <w:ind w:left="240" w:leftChars="100" w:firstLine="131" w:firstLineChars="50"/>
                    <w:jc w:val="left"/>
                    <w:textAlignment w:val="auto"/>
                    <w:rPr>
                      <w:b/>
                      <w:sz w:val="26"/>
                      <w:szCs w:val="26"/>
                    </w:rPr>
                  </w:pPr>
                  <w:r>
                    <w:rPr>
                      <w:b/>
                      <w:sz w:val="26"/>
                      <w:szCs w:val="26"/>
                    </w:rPr>
                    <w:t>1.</w:t>
                  </w:r>
                  <w:r>
                    <w:rPr>
                      <w:rFonts w:hint="eastAsia"/>
                      <w:b/>
                      <w:sz w:val="26"/>
                      <w:szCs w:val="26"/>
                      <w:lang w:eastAsia="zh-CN"/>
                    </w:rPr>
                    <w:t>□</w:t>
                  </w:r>
                  <w:r>
                    <w:rPr>
                      <w:b/>
                      <w:sz w:val="26"/>
                      <w:szCs w:val="26"/>
                    </w:rPr>
                    <w:t xml:space="preserve">QMS   </w:t>
                  </w:r>
                  <w:r>
                    <w:rPr>
                      <w:rFonts w:hint="eastAsia"/>
                      <w:b/>
                      <w:sz w:val="26"/>
                      <w:szCs w:val="26"/>
                      <w:lang w:eastAsia="zh-CN"/>
                    </w:rPr>
                    <w:t>☑</w:t>
                  </w:r>
                  <w:r>
                    <w:rPr>
                      <w:b/>
                      <w:sz w:val="26"/>
                      <w:szCs w:val="26"/>
                    </w:rPr>
                    <w:t xml:space="preserve">EMS  </w:t>
                  </w:r>
                  <w:r>
                    <w:rPr>
                      <w:rFonts w:hint="eastAsia"/>
                      <w:b/>
                      <w:sz w:val="26"/>
                      <w:szCs w:val="26"/>
                    </w:rPr>
                    <w:t>□</w:t>
                  </w:r>
                  <w:r>
                    <w:rPr>
                      <w:b/>
                      <w:sz w:val="26"/>
                      <w:szCs w:val="26"/>
                    </w:rPr>
                    <w:t>OHSMS</w:t>
                  </w:r>
                  <w:r>
                    <w:rPr>
                      <w:rFonts w:hint="eastAsia"/>
                      <w:b/>
                      <w:sz w:val="26"/>
                      <w:szCs w:val="26"/>
                      <w:lang w:val="en-US" w:eastAsia="zh-CN"/>
                    </w:rPr>
                    <w:t xml:space="preserve"> </w:t>
                  </w:r>
                  <w:r>
                    <w:rPr>
                      <w:rFonts w:hint="eastAsia"/>
                      <w:b/>
                      <w:sz w:val="26"/>
                      <w:szCs w:val="26"/>
                    </w:rPr>
                    <w:t>□50430的适宜性、充分性、运行有效性，自我完善机制等，管理体系满足适用要求和实现预期结果的能力。</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rPr>
                      <w:rFonts w:hint="eastAsia"/>
                      <w:color w:val="auto"/>
                      <w:kern w:val="2"/>
                      <w:sz w:val="21"/>
                      <w:szCs w:val="21"/>
                      <w:lang w:val="en-GB"/>
                    </w:rPr>
                  </w:pPr>
                  <w:r>
                    <w:rPr>
                      <w:rFonts w:hint="eastAsia" w:hAnsi="宋体"/>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sz w:val="21"/>
                      <w:szCs w:val="21"/>
                      <w:u w:val="single"/>
                      <w:lang w:eastAsia="zh-CN"/>
                    </w:rPr>
                    <w:t>河北腾飞通讯器材有限公司</w:t>
                  </w:r>
                  <w:r>
                    <w:rPr>
                      <w:rFonts w:hint="eastAsia"/>
                      <w:sz w:val="21"/>
                      <w:szCs w:val="21"/>
                      <w:u w:val="single"/>
                      <w:lang w:val="en-US" w:eastAsia="zh-CN"/>
                    </w:rPr>
                    <w:t xml:space="preserve">  </w:t>
                  </w:r>
                  <w:r>
                    <w:rPr>
                      <w:rFonts w:hint="eastAsia" w:hAnsi="宋体"/>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napToGrid/>
                    <w:spacing w:line="360" w:lineRule="exact"/>
                    <w:textAlignment w:val="auto"/>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top"/>
                </w:tcPr>
                <w:p>
                  <w:pPr>
                    <w:keepNext w:val="0"/>
                    <w:keepLines w:val="0"/>
                    <w:pageBreakBefore w:val="0"/>
                    <w:widowControl w:val="0"/>
                    <w:kinsoku/>
                    <w:wordWrap/>
                    <w:overflowPunct/>
                    <w:topLinePunct w:val="0"/>
                    <w:bidi w:val="0"/>
                    <w:snapToGrid/>
                    <w:spacing w:line="360" w:lineRule="exact"/>
                    <w:textAlignment w:val="auto"/>
                    <w:rPr>
                      <w:b/>
                      <w:sz w:val="26"/>
                      <w:szCs w:val="26"/>
                    </w:rPr>
                  </w:pPr>
                  <w:r>
                    <w:rPr>
                      <w:b/>
                      <w:sz w:val="26"/>
                      <w:szCs w:val="26"/>
                    </w:rPr>
                    <w:t xml:space="preserve">2. </w:t>
                  </w:r>
                  <w:r>
                    <w:rPr>
                      <w:rFonts w:hint="eastAsia"/>
                      <w:b/>
                      <w:sz w:val="26"/>
                      <w:szCs w:val="26"/>
                    </w:rPr>
                    <w:t>审核组推荐意见：</w:t>
                  </w:r>
                </w:p>
                <w:p>
                  <w:pPr>
                    <w:keepNext w:val="0"/>
                    <w:keepLines w:val="0"/>
                    <w:pageBreakBefore w:val="0"/>
                    <w:widowControl w:val="0"/>
                    <w:kinsoku/>
                    <w:wordWrap/>
                    <w:overflowPunct/>
                    <w:topLinePunct w:val="0"/>
                    <w:bidi w:val="0"/>
                    <w:snapToGrid/>
                    <w:spacing w:line="360" w:lineRule="exact"/>
                    <w:ind w:left="240" w:leftChars="100" w:firstLine="120" w:firstLineChars="50"/>
                    <w:jc w:val="left"/>
                    <w:textAlignment w:val="auto"/>
                    <w:rPr>
                      <w:rFonts w:ascii="宋体" w:hAnsi="宋体" w:eastAsia="宋体"/>
                      <w:sz w:val="24"/>
                      <w:szCs w:val="24"/>
                    </w:rPr>
                  </w:pPr>
                  <w:r>
                    <w:rPr>
                      <w:rFonts w:hint="eastAsia"/>
                      <w:b/>
                      <w:sz w:val="24"/>
                      <w:szCs w:val="24"/>
                      <w:lang w:eastAsia="zh-CN"/>
                    </w:rPr>
                    <w:t>☑</w:t>
                  </w:r>
                  <w:r>
                    <w:rPr>
                      <w:rFonts w:hint="eastAsia"/>
                      <w:b/>
                      <w:sz w:val="24"/>
                      <w:szCs w:val="24"/>
                    </w:rPr>
                    <w:t>推荐保持（</w:t>
                  </w:r>
                  <w:r>
                    <w:rPr>
                      <w:rFonts w:hint="eastAsia"/>
                      <w:b/>
                      <w:sz w:val="24"/>
                      <w:szCs w:val="24"/>
                      <w:lang w:eastAsia="zh-CN"/>
                    </w:rPr>
                    <w:t>□</w:t>
                  </w:r>
                  <w:r>
                    <w:rPr>
                      <w:b/>
                      <w:sz w:val="24"/>
                      <w:szCs w:val="24"/>
                    </w:rPr>
                    <w:t xml:space="preserve">QMS </w:t>
                  </w:r>
                  <w:r>
                    <w:rPr>
                      <w:rFonts w:hint="eastAsia"/>
                      <w:b/>
                      <w:sz w:val="24"/>
                      <w:szCs w:val="24"/>
                      <w:lang w:eastAsia="zh-CN"/>
                    </w:rPr>
                    <w:t>☑</w:t>
                  </w:r>
                  <w:r>
                    <w:rPr>
                      <w:b/>
                      <w:sz w:val="24"/>
                      <w:szCs w:val="24"/>
                    </w:rPr>
                    <w:t xml:space="preserve">EMS  </w:t>
                  </w:r>
                  <w:r>
                    <w:rPr>
                      <w:rFonts w:hint="eastAsia"/>
                      <w:b/>
                      <w:sz w:val="24"/>
                      <w:szCs w:val="24"/>
                    </w:rPr>
                    <w:t>□</w:t>
                  </w:r>
                  <w:r>
                    <w:rPr>
                      <w:b/>
                      <w:sz w:val="24"/>
                      <w:szCs w:val="24"/>
                    </w:rPr>
                    <w:t>OHSMS</w:t>
                  </w:r>
                  <w:r>
                    <w:rPr>
                      <w:rFonts w:hint="eastAsia"/>
                      <w:b/>
                      <w:sz w:val="24"/>
                      <w:szCs w:val="24"/>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4"/>
                      <w:szCs w:val="24"/>
                    </w:rPr>
                  </w:pPr>
                  <w:r>
                    <w:rPr>
                      <w:rFonts w:hint="eastAsia"/>
                      <w:b/>
                      <w:sz w:val="24"/>
                      <w:szCs w:val="24"/>
                    </w:rPr>
                    <w:t>□延期推荐（□</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6"/>
                      <w:szCs w:val="26"/>
                    </w:rPr>
                  </w:pPr>
                  <w:r>
                    <w:rPr>
                      <w:rFonts w:hint="eastAsia"/>
                      <w:b/>
                      <w:sz w:val="24"/>
                      <w:szCs w:val="24"/>
                    </w:rPr>
                    <w:t>□不推荐</w:t>
                  </w:r>
                  <w:r>
                    <w:rPr>
                      <w:b/>
                      <w:sz w:val="24"/>
                      <w:szCs w:val="24"/>
                    </w:rPr>
                    <w:t xml:space="preserve">  </w:t>
                  </w:r>
                  <w:r>
                    <w:rPr>
                      <w:rFonts w:hint="eastAsia"/>
                      <w:b/>
                      <w:sz w:val="24"/>
                      <w:szCs w:val="24"/>
                    </w:rPr>
                    <w:t>（□</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center"/>
                </w:tcPr>
                <w:p>
                  <w:pPr>
                    <w:keepNext w:val="0"/>
                    <w:keepLines w:val="0"/>
                    <w:pageBreakBefore w:val="0"/>
                    <w:widowControl w:val="0"/>
                    <w:kinsoku/>
                    <w:wordWrap/>
                    <w:overflowPunct/>
                    <w:topLinePunct w:val="0"/>
                    <w:bidi w:val="0"/>
                    <w:snapToGrid/>
                    <w:spacing w:line="360" w:lineRule="exact"/>
                    <w:ind w:left="240" w:leftChars="100" w:firstLine="131" w:firstLineChars="50"/>
                    <w:jc w:val="left"/>
                    <w:textAlignment w:val="auto"/>
                    <w:rPr>
                      <w:b/>
                      <w:sz w:val="26"/>
                      <w:szCs w:val="26"/>
                    </w:rPr>
                  </w:pPr>
                  <w:r>
                    <w:rPr>
                      <w:b/>
                      <w:sz w:val="26"/>
                      <w:szCs w:val="26"/>
                    </w:rPr>
                    <w:t>1.</w:t>
                  </w:r>
                  <w:r>
                    <w:rPr>
                      <w:rFonts w:hint="eastAsia"/>
                      <w:b/>
                      <w:sz w:val="26"/>
                      <w:szCs w:val="26"/>
                      <w:lang w:eastAsia="zh-CN"/>
                    </w:rPr>
                    <w:t>□</w:t>
                  </w:r>
                  <w:r>
                    <w:rPr>
                      <w:b/>
                      <w:sz w:val="26"/>
                      <w:szCs w:val="26"/>
                    </w:rPr>
                    <w:t xml:space="preserve">QMS   </w:t>
                  </w:r>
                  <w:r>
                    <w:rPr>
                      <w:rFonts w:hint="eastAsia"/>
                      <w:b/>
                      <w:sz w:val="26"/>
                      <w:szCs w:val="26"/>
                      <w:lang w:eastAsia="zh-CN"/>
                    </w:rPr>
                    <w:t>☑</w:t>
                  </w:r>
                  <w:r>
                    <w:rPr>
                      <w:b/>
                      <w:sz w:val="26"/>
                      <w:szCs w:val="26"/>
                    </w:rPr>
                    <w:t xml:space="preserve">EMS  </w:t>
                  </w:r>
                  <w:r>
                    <w:rPr>
                      <w:rFonts w:hint="eastAsia"/>
                      <w:b/>
                      <w:sz w:val="26"/>
                      <w:szCs w:val="26"/>
                    </w:rPr>
                    <w:t>□</w:t>
                  </w:r>
                  <w:r>
                    <w:rPr>
                      <w:b/>
                      <w:sz w:val="26"/>
                      <w:szCs w:val="26"/>
                    </w:rPr>
                    <w:t>OHSMS</w:t>
                  </w:r>
                  <w:r>
                    <w:rPr>
                      <w:rFonts w:hint="eastAsia"/>
                      <w:b/>
                      <w:sz w:val="26"/>
                      <w:szCs w:val="26"/>
                      <w:lang w:val="en-US" w:eastAsia="zh-CN"/>
                    </w:rPr>
                    <w:t xml:space="preserve"> </w:t>
                  </w:r>
                  <w:r>
                    <w:rPr>
                      <w:rFonts w:hint="eastAsia"/>
                      <w:b/>
                      <w:sz w:val="26"/>
                      <w:szCs w:val="26"/>
                    </w:rPr>
                    <w:t>□50430的适宜性、充分性、运行有效性，自我完善机制等，管理体系满足适用要求和实现预期结果的能力。</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rPr>
                      <w:rFonts w:hint="eastAsia"/>
                      <w:color w:val="auto"/>
                      <w:kern w:val="2"/>
                      <w:sz w:val="21"/>
                      <w:szCs w:val="21"/>
                      <w:lang w:val="en-GB"/>
                    </w:rPr>
                  </w:pPr>
                  <w:r>
                    <w:rPr>
                      <w:rFonts w:hint="eastAsia" w:hAnsi="宋体"/>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sz w:val="21"/>
                      <w:szCs w:val="21"/>
                      <w:u w:val="single"/>
                      <w:lang w:eastAsia="zh-CN"/>
                    </w:rPr>
                    <w:t>河北腾飞通讯器材有限公司</w:t>
                  </w:r>
                  <w:r>
                    <w:rPr>
                      <w:rFonts w:hint="eastAsia"/>
                      <w:sz w:val="21"/>
                      <w:szCs w:val="21"/>
                      <w:u w:val="single"/>
                      <w:lang w:val="en-US" w:eastAsia="zh-CN"/>
                    </w:rPr>
                    <w:t xml:space="preserve">  </w:t>
                  </w:r>
                  <w:r>
                    <w:rPr>
                      <w:rFonts w:hint="eastAsia" w:hAnsi="宋体"/>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napToGrid/>
                    <w:spacing w:line="360" w:lineRule="exact"/>
                    <w:textAlignment w:val="auto"/>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noWrap w:val="0"/>
                  <w:vAlign w:val="top"/>
                </w:tcPr>
                <w:p>
                  <w:pPr>
                    <w:keepNext w:val="0"/>
                    <w:keepLines w:val="0"/>
                    <w:pageBreakBefore w:val="0"/>
                    <w:widowControl w:val="0"/>
                    <w:kinsoku/>
                    <w:wordWrap/>
                    <w:overflowPunct/>
                    <w:topLinePunct w:val="0"/>
                    <w:bidi w:val="0"/>
                    <w:snapToGrid/>
                    <w:spacing w:line="360" w:lineRule="exact"/>
                    <w:textAlignment w:val="auto"/>
                    <w:rPr>
                      <w:b/>
                      <w:sz w:val="26"/>
                      <w:szCs w:val="26"/>
                    </w:rPr>
                  </w:pPr>
                  <w:r>
                    <w:rPr>
                      <w:b/>
                      <w:sz w:val="26"/>
                      <w:szCs w:val="26"/>
                    </w:rPr>
                    <w:t xml:space="preserve">2. </w:t>
                  </w:r>
                  <w:r>
                    <w:rPr>
                      <w:rFonts w:hint="eastAsia"/>
                      <w:b/>
                      <w:sz w:val="26"/>
                      <w:szCs w:val="26"/>
                    </w:rPr>
                    <w:t>审核组推荐意见：</w:t>
                  </w:r>
                </w:p>
                <w:p>
                  <w:pPr>
                    <w:keepNext w:val="0"/>
                    <w:keepLines w:val="0"/>
                    <w:pageBreakBefore w:val="0"/>
                    <w:widowControl w:val="0"/>
                    <w:kinsoku/>
                    <w:wordWrap/>
                    <w:overflowPunct/>
                    <w:topLinePunct w:val="0"/>
                    <w:bidi w:val="0"/>
                    <w:snapToGrid/>
                    <w:spacing w:line="360" w:lineRule="exact"/>
                    <w:ind w:left="240" w:leftChars="100" w:firstLine="120" w:firstLineChars="50"/>
                    <w:jc w:val="left"/>
                    <w:textAlignment w:val="auto"/>
                    <w:rPr>
                      <w:rFonts w:ascii="宋体" w:hAnsi="宋体" w:eastAsia="宋体"/>
                      <w:sz w:val="24"/>
                      <w:szCs w:val="24"/>
                    </w:rPr>
                  </w:pPr>
                  <w:r>
                    <w:rPr>
                      <w:rFonts w:hint="eastAsia"/>
                      <w:b/>
                      <w:sz w:val="24"/>
                      <w:szCs w:val="24"/>
                      <w:lang w:eastAsia="zh-CN"/>
                    </w:rPr>
                    <w:t>☑</w:t>
                  </w:r>
                  <w:r>
                    <w:rPr>
                      <w:rFonts w:hint="eastAsia"/>
                      <w:b/>
                      <w:sz w:val="24"/>
                      <w:szCs w:val="24"/>
                    </w:rPr>
                    <w:t>推荐保持（</w:t>
                  </w:r>
                  <w:r>
                    <w:rPr>
                      <w:rFonts w:hint="eastAsia"/>
                      <w:b/>
                      <w:sz w:val="24"/>
                      <w:szCs w:val="24"/>
                      <w:lang w:eastAsia="zh-CN"/>
                    </w:rPr>
                    <w:t>□</w:t>
                  </w:r>
                  <w:r>
                    <w:rPr>
                      <w:b/>
                      <w:sz w:val="24"/>
                      <w:szCs w:val="24"/>
                    </w:rPr>
                    <w:t xml:space="preserve">QMS </w:t>
                  </w:r>
                  <w:r>
                    <w:rPr>
                      <w:rFonts w:hint="eastAsia"/>
                      <w:b/>
                      <w:sz w:val="24"/>
                      <w:szCs w:val="24"/>
                      <w:lang w:eastAsia="zh-CN"/>
                    </w:rPr>
                    <w:t>☑</w:t>
                  </w:r>
                  <w:r>
                    <w:rPr>
                      <w:b/>
                      <w:sz w:val="24"/>
                      <w:szCs w:val="24"/>
                    </w:rPr>
                    <w:t xml:space="preserve">EMS  </w:t>
                  </w:r>
                  <w:r>
                    <w:rPr>
                      <w:rFonts w:hint="eastAsia"/>
                      <w:b/>
                      <w:sz w:val="24"/>
                      <w:szCs w:val="24"/>
                    </w:rPr>
                    <w:t>□</w:t>
                  </w:r>
                  <w:r>
                    <w:rPr>
                      <w:b/>
                      <w:sz w:val="24"/>
                      <w:szCs w:val="24"/>
                    </w:rPr>
                    <w:t>OHSMS</w:t>
                  </w:r>
                  <w:r>
                    <w:rPr>
                      <w:rFonts w:hint="eastAsia"/>
                      <w:b/>
                      <w:sz w:val="24"/>
                      <w:szCs w:val="24"/>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4"/>
                      <w:szCs w:val="24"/>
                    </w:rPr>
                  </w:pPr>
                  <w:r>
                    <w:rPr>
                      <w:rFonts w:hint="eastAsia"/>
                      <w:b/>
                      <w:sz w:val="24"/>
                      <w:szCs w:val="24"/>
                    </w:rPr>
                    <w:t>□延期推荐（□</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6"/>
                      <w:szCs w:val="26"/>
                    </w:rPr>
                  </w:pPr>
                  <w:r>
                    <w:rPr>
                      <w:rFonts w:hint="eastAsia"/>
                      <w:b/>
                      <w:sz w:val="24"/>
                      <w:szCs w:val="24"/>
                    </w:rPr>
                    <w:t>□不推荐</w:t>
                  </w:r>
                  <w:r>
                    <w:rPr>
                      <w:b/>
                      <w:sz w:val="24"/>
                      <w:szCs w:val="24"/>
                    </w:rPr>
                    <w:t xml:space="preserve">  </w:t>
                  </w:r>
                  <w:r>
                    <w:rPr>
                      <w:rFonts w:hint="eastAsia"/>
                      <w:b/>
                      <w:sz w:val="24"/>
                      <w:szCs w:val="24"/>
                    </w:rPr>
                    <w:t>（□</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tc>
            </w:tr>
          </w:tbl>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r>
        <w:rPr>
          <w:rFonts w:hint="eastAsia" w:eastAsia="宋体"/>
          <w:b/>
          <w:sz w:val="21"/>
          <w:lang w:eastAsia="zh-CN"/>
        </w:rPr>
        <w:drawing>
          <wp:inline distT="0" distB="0" distL="114300" distR="114300">
            <wp:extent cx="1042035" cy="154305"/>
            <wp:effectExtent l="0" t="0" r="12065" b="10795"/>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6"/>
                    <a:stretch>
                      <a:fillRect/>
                    </a:stretch>
                  </pic:blipFill>
                  <pic:spPr>
                    <a:xfrm>
                      <a:off x="0" y="0"/>
                      <a:ext cx="1042035" cy="154305"/>
                    </a:xfrm>
                    <a:prstGeom prst="rect">
                      <a:avLst/>
                    </a:prstGeom>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rPr>
          <w:rFonts w:hint="eastAsia" w:eastAsia="宋体"/>
          <w:b/>
          <w:sz w:val="21"/>
          <w:lang w:eastAsia="zh-CN"/>
        </w:rPr>
        <w:drawing>
          <wp:inline distT="0" distB="0" distL="114300" distR="114300">
            <wp:extent cx="1042035" cy="154305"/>
            <wp:effectExtent l="0" t="0" r="12065" b="10795"/>
            <wp:docPr id="2" name="图片 2"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_看图王(1)"/>
                    <pic:cNvPicPr>
                      <a:picLocks noChangeAspect="1"/>
                    </pic:cNvPicPr>
                  </pic:nvPicPr>
                  <pic:blipFill>
                    <a:blip r:embed="rId6"/>
                    <a:stretch>
                      <a:fillRect/>
                    </a:stretch>
                  </pic:blipFill>
                  <pic:spPr>
                    <a:xfrm>
                      <a:off x="0" y="0"/>
                      <a:ext cx="1042035" cy="154305"/>
                    </a:xfrm>
                    <a:prstGeom prst="rect">
                      <a:avLst/>
                    </a:prstGeom>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rPr>
          <w:rFonts w:hint="eastAsia" w:eastAsia="宋体"/>
          <w:b/>
          <w:sz w:val="21"/>
          <w:lang w:eastAsia="zh-CN"/>
        </w:rPr>
        <w:drawing>
          <wp:inline distT="0" distB="0" distL="114300" distR="114300">
            <wp:extent cx="1042035" cy="154305"/>
            <wp:effectExtent l="0" t="0" r="12065" b="10795"/>
            <wp:docPr id="3" name="图片 3"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_看图王(1)"/>
                    <pic:cNvPicPr>
                      <a:picLocks noChangeAspect="1"/>
                    </pic:cNvPicPr>
                  </pic:nvPicPr>
                  <pic:blipFill>
                    <a:blip r:embed="rId6"/>
                    <a:stretch>
                      <a:fillRect/>
                    </a:stretch>
                  </pic:blipFill>
                  <pic:spPr>
                    <a:xfrm>
                      <a:off x="0" y="0"/>
                      <a:ext cx="1042035" cy="154305"/>
                    </a:xfrm>
                    <a:prstGeom prst="rect">
                      <a:avLst/>
                    </a:prstGeom>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hint="eastAsia"/>
          <w:b/>
          <w:sz w:val="26"/>
          <w:szCs w:val="26"/>
        </w:rPr>
      </w:pPr>
    </w:p>
    <w:p>
      <w:pPr>
        <w:spacing w:before="163" w:beforeLines="50" w:after="163" w:afterLines="50" w:line="360" w:lineRule="exact"/>
        <w:rPr>
          <w:rFonts w:hint="eastAsia"/>
          <w:b/>
          <w:sz w:val="26"/>
          <w:szCs w:val="26"/>
        </w:rPr>
      </w:pPr>
    </w:p>
    <w:p>
      <w:pPr>
        <w:spacing w:before="163" w:beforeLines="50" w:after="163" w:afterLines="50" w:line="360" w:lineRule="exact"/>
        <w:rPr>
          <w:rFonts w:hint="eastAsia"/>
          <w:b/>
          <w:sz w:val="26"/>
          <w:szCs w:val="26"/>
        </w:rPr>
      </w:pPr>
    </w:p>
    <w:p>
      <w:pPr>
        <w:spacing w:before="163" w:beforeLines="50" w:after="163" w:afterLines="50" w:line="360" w:lineRule="exact"/>
        <w:rPr>
          <w:rFonts w:hint="eastAsia"/>
          <w:b/>
          <w:sz w:val="26"/>
          <w:szCs w:val="26"/>
        </w:rPr>
      </w:pPr>
    </w:p>
    <w:p>
      <w:pPr>
        <w:spacing w:before="163" w:beforeLines="50" w:after="163" w:afterLines="50" w:line="360" w:lineRule="exact"/>
        <w:rPr>
          <w:rFonts w:ascii="宋体"/>
          <w:b/>
          <w:sz w:val="26"/>
          <w:szCs w:val="26"/>
        </w:rPr>
      </w:pPr>
      <w:bookmarkStart w:id="28" w:name="_GoBack"/>
      <w:bookmarkEnd w:id="28"/>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6EC4"/>
    <w:multiLevelType w:val="singleLevel"/>
    <w:tmpl w:val="04016EC4"/>
    <w:lvl w:ilvl="0" w:tentative="0">
      <w:start w:val="2"/>
      <w:numFmt w:val="decimal"/>
      <w:lvlText w:val="%1."/>
      <w:lvlJc w:val="left"/>
      <w:pPr>
        <w:tabs>
          <w:tab w:val="left" w:pos="312"/>
        </w:tabs>
      </w:pPr>
    </w:lvl>
  </w:abstractNum>
  <w:abstractNum w:abstractNumId="1">
    <w:nsid w:val="08D80D3F"/>
    <w:multiLevelType w:val="singleLevel"/>
    <w:tmpl w:val="08D80D3F"/>
    <w:lvl w:ilvl="0" w:tentative="0">
      <w:start w:val="9"/>
      <w:numFmt w:val="decimal"/>
      <w:suff w:val="space"/>
      <w:lvlText w:val="%1."/>
      <w:lvlJc w:val="left"/>
    </w:lvl>
  </w:abstractNum>
  <w:abstractNum w:abstractNumId="2">
    <w:nsid w:val="090E2C88"/>
    <w:multiLevelType w:val="singleLevel"/>
    <w:tmpl w:val="090E2C88"/>
    <w:lvl w:ilvl="0" w:tentative="0">
      <w:start w:val="5"/>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7248FF"/>
    <w:rsid w:val="4CE84218"/>
    <w:rsid w:val="617D2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2021-07-11T01:41:23Z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