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0199-2018-Q-2021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江西科鸿新材料科技有限公司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江西省九江市永修县云山经济开发区星火工业园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330321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江西省九江市永修县云山经济开发区星火工业园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330321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江西省九江市永修县云山经济开发区星火工业园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330321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91360425MA367FLN98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0792-3052788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黄彭量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