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292"/>
        <w:gridCol w:w="1034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Merge w:val="restart"/>
            <w:vAlign w:val="center"/>
          </w:tcPr>
          <w:p>
            <w:pPr>
              <w:spacing w:before="12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过程与活动、</w:t>
            </w:r>
          </w:p>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抽样计划</w:t>
            </w:r>
          </w:p>
        </w:tc>
        <w:tc>
          <w:tcPr>
            <w:tcW w:w="1292" w:type="dxa"/>
            <w:vMerge w:val="restart"/>
            <w:vAlign w:val="center"/>
          </w:tcPr>
          <w:p>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涉及条款</w:t>
            </w:r>
          </w:p>
        </w:tc>
        <w:tc>
          <w:tcPr>
            <w:tcW w:w="10344" w:type="dxa"/>
            <w:vAlign w:val="center"/>
          </w:tcPr>
          <w:p>
            <w:pPr>
              <w:rPr>
                <w:rFonts w:hint="eastAsia"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受审核部门：管理层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主管领导</w:t>
            </w:r>
            <w:r>
              <w:rPr>
                <w:rFonts w:hint="eastAsia" w:cs="Times New Roman"/>
                <w:sz w:val="24"/>
                <w:szCs w:val="24"/>
                <w:highlight w:val="none"/>
                <w:lang w:val="en-US" w:eastAsia="zh-CN"/>
              </w:rPr>
              <w:t>：</w:t>
            </w:r>
            <w:r>
              <w:rPr>
                <w:rFonts w:hint="eastAsia"/>
                <w:color w:val="auto"/>
                <w:sz w:val="24"/>
                <w:szCs w:val="24"/>
                <w:highlight w:val="none"/>
                <w:lang w:val="en-US" w:eastAsia="zh-CN"/>
              </w:rPr>
              <w:t>黄彭量</w:t>
            </w:r>
            <w:r>
              <w:rPr>
                <w:rFonts w:hint="default" w:ascii="Times New Roman" w:hAnsi="Times New Roman" w:cs="Times New Roman"/>
                <w:sz w:val="24"/>
                <w:szCs w:val="24"/>
                <w:highlight w:val="none"/>
                <w:lang w:val="en-US" w:eastAsia="zh-CN"/>
              </w:rPr>
              <w:t xml:space="preserve">   </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rPr>
              <w:t>陪同人员：</w:t>
            </w:r>
            <w:r>
              <w:rPr>
                <w:rFonts w:hint="eastAsia"/>
                <w:color w:val="auto"/>
                <w:sz w:val="24"/>
                <w:szCs w:val="24"/>
                <w:highlight w:val="none"/>
                <w:lang w:eastAsia="zh-CN"/>
              </w:rPr>
              <w:t>曹亚茹</w:t>
            </w:r>
          </w:p>
        </w:tc>
        <w:tc>
          <w:tcPr>
            <w:tcW w:w="1054" w:type="dxa"/>
            <w:vMerge w:val="restart"/>
            <w:vAlign w:val="center"/>
          </w:tcPr>
          <w:p>
            <w:pP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19" w:type="dxa"/>
            <w:vMerge w:val="continue"/>
            <w:vAlign w:val="center"/>
          </w:tcPr>
          <w:p>
            <w:pPr>
              <w:rPr>
                <w:rFonts w:hint="default" w:ascii="Times New Roman" w:hAnsi="Times New Roman" w:cs="Times New Roman"/>
                <w:sz w:val="24"/>
                <w:szCs w:val="24"/>
                <w:highlight w:val="none"/>
              </w:rPr>
            </w:pPr>
          </w:p>
        </w:tc>
        <w:tc>
          <w:tcPr>
            <w:tcW w:w="1292" w:type="dxa"/>
            <w:vMerge w:val="continue"/>
            <w:vAlign w:val="center"/>
          </w:tcPr>
          <w:p>
            <w:pPr>
              <w:rPr>
                <w:rFonts w:hint="default" w:ascii="Times New Roman" w:hAnsi="Times New Roman" w:cs="Times New Roman"/>
                <w:sz w:val="24"/>
                <w:szCs w:val="24"/>
                <w:highlight w:val="none"/>
              </w:rPr>
            </w:pPr>
          </w:p>
        </w:tc>
        <w:tc>
          <w:tcPr>
            <w:tcW w:w="10344" w:type="dxa"/>
            <w:vAlign w:val="center"/>
          </w:tcPr>
          <w:p>
            <w:pPr>
              <w:spacing w:before="12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审核员：</w:t>
            </w:r>
            <w:r>
              <w:rPr>
                <w:rFonts w:hint="eastAsia" w:cs="Times New Roman"/>
                <w:sz w:val="24"/>
                <w:szCs w:val="24"/>
                <w:highlight w:val="none"/>
                <w:lang w:val="en-US" w:eastAsia="zh-CN"/>
              </w:rPr>
              <w:t xml:space="preserve">褚敏杰           </w:t>
            </w:r>
            <w:r>
              <w:rPr>
                <w:rFonts w:hint="default" w:ascii="Times New Roman" w:hAnsi="Times New Roman" w:cs="Times New Roman"/>
                <w:sz w:val="24"/>
                <w:szCs w:val="24"/>
                <w:highlight w:val="none"/>
              </w:rPr>
              <w:t>审核时间：202</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w:t>
            </w:r>
            <w:r>
              <w:rPr>
                <w:rFonts w:hint="eastAsia" w:cs="Times New Roman"/>
                <w:sz w:val="24"/>
                <w:szCs w:val="24"/>
                <w:highlight w:val="none"/>
                <w:lang w:val="en-US" w:eastAsia="zh-CN"/>
              </w:rPr>
              <w:t>7.9</w:t>
            </w:r>
          </w:p>
        </w:tc>
        <w:tc>
          <w:tcPr>
            <w:tcW w:w="1054" w:type="dxa"/>
            <w:vMerge w:val="continue"/>
          </w:tcPr>
          <w:p>
            <w:pP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Merge w:val="continue"/>
            <w:vAlign w:val="center"/>
          </w:tcPr>
          <w:p>
            <w:pPr>
              <w:rPr>
                <w:rFonts w:hint="default" w:ascii="Times New Roman" w:hAnsi="Times New Roman" w:cs="Times New Roman"/>
                <w:sz w:val="24"/>
                <w:szCs w:val="24"/>
                <w:highlight w:val="none"/>
              </w:rPr>
            </w:pPr>
          </w:p>
        </w:tc>
        <w:tc>
          <w:tcPr>
            <w:tcW w:w="1292" w:type="dxa"/>
            <w:vMerge w:val="continue"/>
            <w:vAlign w:val="center"/>
          </w:tcPr>
          <w:p>
            <w:pPr>
              <w:rPr>
                <w:rFonts w:hint="default" w:ascii="Times New Roman" w:hAnsi="Times New Roman" w:cs="Times New Roman"/>
                <w:sz w:val="24"/>
                <w:szCs w:val="24"/>
                <w:highlight w:val="none"/>
              </w:rPr>
            </w:pPr>
          </w:p>
        </w:tc>
        <w:tc>
          <w:tcPr>
            <w:tcW w:w="10344" w:type="dxa"/>
            <w:vAlign w:val="center"/>
          </w:tcPr>
          <w:p>
            <w:pPr>
              <w:adjustRightInd w:val="0"/>
              <w:snapToGrid w:val="0"/>
              <w:spacing w:line="240" w:lineRule="auto"/>
              <w:ind w:right="105" w:rightChars="50"/>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审核条款：</w:t>
            </w:r>
          </w:p>
          <w:p>
            <w:pPr>
              <w:adjustRightInd w:val="0"/>
              <w:snapToGrid w:val="0"/>
              <w:spacing w:line="240" w:lineRule="auto"/>
              <w:ind w:right="105" w:rightChars="50"/>
              <w:jc w:val="both"/>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QMS:4.1理解组织及其环境、4.2理解相关方的需求和期望、4.3 确定管理体系的范围、4.4质量管理体系及其过程、5.1领导作用和承诺、5.2质量方针、5.3组织的岗位、职责和权限、6.1应对风险和机遇的措施、6.2质量目标及其实现的策划、6.3变更的策划、7.1资源、</w:t>
            </w:r>
            <w:r>
              <w:rPr>
                <w:rFonts w:hint="eastAsia" w:ascii="宋体" w:hAnsi="宋体" w:cs="Arial"/>
                <w:color w:val="auto"/>
                <w:spacing w:val="-6"/>
                <w:sz w:val="21"/>
                <w:szCs w:val="21"/>
                <w:highlight w:val="none"/>
                <w:lang w:val="en-US" w:eastAsia="zh-CN"/>
              </w:rPr>
              <w:t>7.4沟通、</w:t>
            </w:r>
            <w:r>
              <w:rPr>
                <w:rFonts w:hint="eastAsia" w:ascii="宋体" w:hAnsi="宋体" w:cs="Arial"/>
                <w:color w:val="auto"/>
                <w:spacing w:val="-6"/>
                <w:sz w:val="21"/>
                <w:szCs w:val="21"/>
                <w:highlight w:val="none"/>
              </w:rPr>
              <w:t>9.3管理评审、10.1改进、10.3持续改进</w:t>
            </w:r>
          </w:p>
          <w:p>
            <w:pPr>
              <w:adjustRightInd w:val="0"/>
              <w:snapToGrid w:val="0"/>
              <w:spacing w:line="240" w:lineRule="auto"/>
              <w:ind w:right="105" w:rightChars="50"/>
              <w:jc w:val="both"/>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8.3删减确认</w:t>
            </w:r>
          </w:p>
          <w:p>
            <w:pPr>
              <w:spacing w:line="240" w:lineRule="auto"/>
              <w:rPr>
                <w:rFonts w:hint="default" w:ascii="Times New Roman" w:hAnsi="Times New Roman" w:cs="Times New Roman"/>
                <w:sz w:val="24"/>
                <w:szCs w:val="24"/>
                <w:highlight w:val="none"/>
              </w:rPr>
            </w:pPr>
            <w:r>
              <w:rPr>
                <w:rFonts w:hint="eastAsia" w:ascii="宋体" w:hAnsi="宋体" w:eastAsia="宋体" w:cs="Arial"/>
                <w:color w:val="auto"/>
                <w:spacing w:val="-6"/>
                <w:sz w:val="21"/>
                <w:szCs w:val="21"/>
                <w:highlight w:val="none"/>
              </w:rPr>
              <w:t>国家/地方监督抽查情况；顾客满意、相关方投诉及处理情况；</w:t>
            </w:r>
            <w:r>
              <w:rPr>
                <w:rFonts w:hint="eastAsia" w:ascii="宋体" w:hAnsi="宋体" w:eastAsia="宋体" w:cs="Arial"/>
                <w:color w:val="auto"/>
                <w:spacing w:val="-6"/>
                <w:sz w:val="21"/>
                <w:szCs w:val="21"/>
                <w:highlight w:val="none"/>
                <w:lang w:val="en-US" w:eastAsia="zh-CN"/>
              </w:rPr>
              <w:t>上次审核</w:t>
            </w:r>
            <w:r>
              <w:rPr>
                <w:rFonts w:hint="eastAsia" w:ascii="宋体" w:hAnsi="宋体" w:eastAsia="宋体" w:cs="Arial"/>
                <w:color w:val="auto"/>
                <w:spacing w:val="-6"/>
                <w:sz w:val="21"/>
                <w:szCs w:val="21"/>
                <w:highlight w:val="none"/>
              </w:rPr>
              <w:t>问题验证，验证企业相关资质证明的有效性；</w:t>
            </w:r>
          </w:p>
        </w:tc>
        <w:tc>
          <w:tcPr>
            <w:tcW w:w="1054" w:type="dxa"/>
            <w:vMerge w:val="continue"/>
          </w:tcPr>
          <w:p>
            <w:pP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Align w:val="center"/>
          </w:tcPr>
          <w:p>
            <w:pPr>
              <w:rPr>
                <w:rFonts w:hint="default" w:ascii="Times New Roman" w:hAnsi="Times New Roman" w:eastAsia="宋体" w:cs="Times New Roman"/>
                <w:b/>
                <w:kern w:val="2"/>
                <w:sz w:val="21"/>
                <w:szCs w:val="24"/>
                <w:highlight w:val="none"/>
                <w:lang w:val="en-US" w:eastAsia="zh-CN" w:bidi="ar-SA"/>
              </w:rPr>
            </w:pPr>
            <w:r>
              <w:rPr>
                <w:rFonts w:hint="default" w:ascii="Times New Roman" w:hAnsi="Times New Roman" w:cs="Times New Roman"/>
                <w:szCs w:val="24"/>
                <w:highlight w:val="none"/>
              </w:rPr>
              <w:t>理解组织及其环境</w:t>
            </w:r>
          </w:p>
        </w:tc>
        <w:tc>
          <w:tcPr>
            <w:tcW w:w="1292" w:type="dxa"/>
            <w:vAlign w:val="center"/>
          </w:tcPr>
          <w:p>
            <w:pPr>
              <w:rPr>
                <w:rFonts w:hint="eastAsia" w:ascii="Times New Roman" w:hAnsi="Times New Roman" w:eastAsia="宋体" w:cs="Times New Roman"/>
                <w:b/>
                <w:kern w:val="2"/>
                <w:sz w:val="21"/>
                <w:szCs w:val="24"/>
                <w:highlight w:val="none"/>
                <w:lang w:val="en-US" w:eastAsia="zh-CN" w:bidi="ar-SA"/>
              </w:rPr>
            </w:pPr>
            <w:r>
              <w:rPr>
                <w:rFonts w:hint="eastAsia" w:asciiTheme="minorEastAsia" w:hAnsiTheme="minorEastAsia" w:eastAsiaTheme="minorEastAsia" w:cstheme="minorEastAsia"/>
                <w:szCs w:val="24"/>
                <w:highlight w:val="none"/>
              </w:rPr>
              <w:t>Q</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rPr>
              <w:t>4.1</w:t>
            </w:r>
          </w:p>
        </w:tc>
        <w:tc>
          <w:tcPr>
            <w:tcW w:w="10344" w:type="dxa"/>
            <w:vAlign w:val="center"/>
          </w:tcPr>
          <w:p>
            <w:pPr>
              <w:spacing w:line="360" w:lineRule="auto"/>
              <w:ind w:firstLine="420" w:firstLineChars="200"/>
              <w:rPr>
                <w:rFonts w:hint="default" w:eastAsia="宋体"/>
                <w:szCs w:val="22"/>
                <w:highlight w:val="none"/>
                <w:lang w:val="en-US" w:eastAsia="zh-CN"/>
              </w:rPr>
            </w:pPr>
            <w:r>
              <w:rPr>
                <w:rFonts w:hint="eastAsia"/>
                <w:szCs w:val="22"/>
                <w:highlight w:val="none"/>
                <w:lang w:val="zh-CN"/>
              </w:rPr>
              <w:t>江西科鸿新材料科技有限公司成立于</w:t>
            </w:r>
            <w:r>
              <w:rPr>
                <w:rFonts w:hint="eastAsia"/>
                <w:szCs w:val="21"/>
                <w:highlight w:val="none"/>
              </w:rPr>
              <w:t>2017年8月17日</w:t>
            </w:r>
            <w:r>
              <w:rPr>
                <w:rFonts w:hint="eastAsia"/>
                <w:szCs w:val="22"/>
                <w:highlight w:val="none"/>
                <w:lang w:val="zh-CN"/>
              </w:rPr>
              <w:t>；</w:t>
            </w:r>
            <w:r>
              <w:rPr>
                <w:rFonts w:hint="eastAsia"/>
                <w:szCs w:val="22"/>
                <w:highlight w:val="none"/>
                <w:lang w:val="en-US" w:eastAsia="zh-CN"/>
              </w:rPr>
              <w:t>注册资金200万元；</w:t>
            </w:r>
          </w:p>
          <w:p>
            <w:pPr>
              <w:spacing w:line="360" w:lineRule="auto"/>
              <w:ind w:firstLine="420" w:firstLineChars="200"/>
              <w:rPr>
                <w:rFonts w:hint="eastAsia"/>
                <w:szCs w:val="22"/>
                <w:highlight w:val="none"/>
                <w:lang w:val="zh-CN"/>
              </w:rPr>
            </w:pPr>
            <w:r>
              <w:rPr>
                <w:rFonts w:hint="eastAsia"/>
                <w:szCs w:val="22"/>
                <w:highlight w:val="none"/>
                <w:lang w:val="en-US" w:eastAsia="zh-CN"/>
              </w:rPr>
              <w:t>注册</w:t>
            </w:r>
            <w:r>
              <w:rPr>
                <w:rFonts w:hint="eastAsia"/>
                <w:szCs w:val="22"/>
                <w:highlight w:val="none"/>
                <w:lang w:val="zh-CN"/>
              </w:rPr>
              <w:t>地址：江西省九江市永修县云山经济开发区星火工业园</w:t>
            </w:r>
          </w:p>
          <w:p>
            <w:pPr>
              <w:spacing w:line="360" w:lineRule="auto"/>
              <w:ind w:firstLine="420" w:firstLineChars="200"/>
              <w:rPr>
                <w:rFonts w:hint="eastAsia"/>
                <w:color w:val="auto"/>
                <w:szCs w:val="22"/>
                <w:highlight w:val="none"/>
                <w:lang w:val="zh-CN"/>
              </w:rPr>
            </w:pPr>
            <w:r>
              <w:rPr>
                <w:rFonts w:hint="eastAsia"/>
                <w:szCs w:val="22"/>
                <w:highlight w:val="none"/>
                <w:lang w:val="en-US" w:eastAsia="zh-CN"/>
              </w:rPr>
              <w:t>经营</w:t>
            </w:r>
            <w:r>
              <w:rPr>
                <w:rFonts w:hint="eastAsia"/>
                <w:szCs w:val="22"/>
                <w:highlight w:val="none"/>
                <w:lang w:val="zh-CN"/>
              </w:rPr>
              <w:t>地址：江西省九江市永修县云山经济开发区星火工业园</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公司现有</w:t>
            </w:r>
            <w:bookmarkStart w:id="0" w:name="体系人数"/>
            <w:r>
              <w:rPr>
                <w:color w:val="000000"/>
                <w:szCs w:val="21"/>
                <w:highlight w:val="none"/>
              </w:rPr>
              <w:t>20</w:t>
            </w:r>
            <w:bookmarkEnd w:id="0"/>
            <w:r>
              <w:rPr>
                <w:rFonts w:hint="eastAsia"/>
                <w:color w:val="auto"/>
                <w:szCs w:val="22"/>
                <w:highlight w:val="none"/>
                <w:lang w:val="en-US" w:eastAsia="zh-CN"/>
              </w:rPr>
              <w:t>人，主要设备有螺杆空压机、包装整形机、储气罐、冷冻式干燥机、精密过滤器、气流粉碎机、自动包装机、布袋除尘、环保设备等。</w:t>
            </w:r>
          </w:p>
          <w:p>
            <w:pPr>
              <w:spacing w:line="360" w:lineRule="auto"/>
              <w:ind w:firstLine="420" w:firstLineChars="200"/>
              <w:rPr>
                <w:rFonts w:hint="eastAsia"/>
                <w:color w:val="auto"/>
                <w:szCs w:val="22"/>
                <w:highlight w:val="none"/>
                <w:lang w:val="en-US" w:eastAsia="zh-CN"/>
              </w:rPr>
            </w:pPr>
            <w:r>
              <w:rPr>
                <w:rFonts w:hint="eastAsia"/>
                <w:color w:val="auto"/>
                <w:szCs w:val="22"/>
                <w:highlight w:val="none"/>
                <w:lang w:val="en-US" w:eastAsia="zh-CN"/>
              </w:rPr>
              <w:t>现有的设备基本能够满足业务服务要求。</w:t>
            </w:r>
          </w:p>
          <w:p>
            <w:pPr>
              <w:spacing w:line="360" w:lineRule="auto"/>
              <w:ind w:firstLine="420" w:firstLineChars="200"/>
              <w:rPr>
                <w:rFonts w:hint="eastAsia"/>
                <w:szCs w:val="22"/>
                <w:highlight w:val="none"/>
                <w:lang w:val="en-US" w:eastAsia="zh-CN"/>
              </w:rPr>
            </w:pPr>
            <w:r>
              <w:rPr>
                <w:rFonts w:hint="eastAsia"/>
                <w:szCs w:val="22"/>
                <w:highlight w:val="none"/>
                <w:lang w:val="en-US" w:eastAsia="zh-CN"/>
              </w:rPr>
              <w:t>营业执照：精细化工产品的生产、加工及销售（危险化学品除外）；自营或代理各类商品和技术的进出口业务。(依法须经批准的项目,经相关部门批准后方可开展经营活动)，覆盖了认证范围：</w:t>
            </w:r>
          </w:p>
          <w:p>
            <w:pPr>
              <w:spacing w:line="360" w:lineRule="auto"/>
              <w:ind w:firstLine="420" w:firstLineChars="200"/>
              <w:rPr>
                <w:rFonts w:hint="eastAsia" w:eastAsia="宋体"/>
                <w:b w:val="0"/>
                <w:bCs w:val="0"/>
                <w:i/>
                <w:iCs/>
                <w:highlight w:val="none"/>
                <w:lang w:val="en-US" w:eastAsia="zh-CN"/>
              </w:rPr>
            </w:pPr>
            <w:r>
              <w:rPr>
                <w:rFonts w:hint="default"/>
                <w:b w:val="0"/>
                <w:bCs w:val="0"/>
                <w:highlight w:val="none"/>
                <w:lang w:val="en-US" w:eastAsia="zh-CN"/>
              </w:rPr>
              <w:t>Q：</w:t>
            </w:r>
            <w:bookmarkStart w:id="1" w:name="审核范围"/>
            <w:r>
              <w:rPr>
                <w:rFonts w:hint="eastAsia" w:ascii="宋体" w:hAnsi="宋体"/>
                <w:highlight w:val="none"/>
              </w:rPr>
              <w:t>二氧化硅超微细白炭黑、改性白炭黑、消光粉的生产</w:t>
            </w:r>
            <w:bookmarkEnd w:id="1"/>
            <w:r>
              <w:rPr>
                <w:rFonts w:hint="eastAsia" w:ascii="宋体" w:hAnsi="宋体"/>
                <w:highlight w:val="none"/>
                <w:lang w:eastAsia="zh-CN"/>
              </w:rPr>
              <w:t>；</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w:t>
            </w:r>
            <w:r>
              <w:rPr>
                <w:rFonts w:hint="eastAsia"/>
                <w:highlight w:val="none"/>
                <w:lang w:val="en-US" w:eastAsia="zh-CN"/>
              </w:rPr>
              <w:t>国家政策</w:t>
            </w:r>
            <w:r>
              <w:rPr>
                <w:rFonts w:hint="eastAsia"/>
                <w:highlight w:val="none"/>
              </w:rPr>
              <w:t>变动、竞争对手、客户需求的变化等；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rPr>
                <w:rFonts w:hint="default" w:ascii="Times New Roman" w:hAnsi="Times New Roman" w:eastAsia="宋体" w:cs="Times New Roman"/>
                <w:kern w:val="2"/>
                <w:sz w:val="21"/>
                <w:szCs w:val="24"/>
                <w:highlight w:val="none"/>
                <w:lang w:val="de-DE" w:eastAsia="zh-CN" w:bidi="ar-SA"/>
              </w:rPr>
            </w:pPr>
            <w:r>
              <w:rPr>
                <w:rFonts w:hint="eastAsia"/>
                <w:highlight w:val="none"/>
              </w:rPr>
              <w:t>公司每年根据从市场、客户、网络等搜集到的信息并结合公司自身业务运作情况进行分析，通过分析对这些内部和外部因素的相关信息进行监视和评审以确保其充分和适宜。</w:t>
            </w:r>
          </w:p>
        </w:tc>
        <w:tc>
          <w:tcPr>
            <w:tcW w:w="1054"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19" w:type="dxa"/>
            <w:vAlign w:val="center"/>
          </w:tcPr>
          <w:p>
            <w:pPr>
              <w:rPr>
                <w:rFonts w:hint="default" w:ascii="Times New Roman" w:hAnsi="Times New Roman" w:eastAsia="宋体" w:cs="Times New Roman"/>
                <w:b/>
                <w:kern w:val="2"/>
                <w:sz w:val="21"/>
                <w:szCs w:val="24"/>
                <w:highlight w:val="none"/>
                <w:lang w:val="en-US" w:eastAsia="zh-CN" w:bidi="ar-SA"/>
              </w:rPr>
            </w:pPr>
            <w:r>
              <w:rPr>
                <w:rFonts w:hint="default" w:ascii="Times New Roman" w:hAnsi="Times New Roman" w:cs="Times New Roman"/>
                <w:szCs w:val="24"/>
                <w:highlight w:val="none"/>
              </w:rPr>
              <w:t>理解相关方的需求和期望</w:t>
            </w:r>
          </w:p>
        </w:tc>
        <w:tc>
          <w:tcPr>
            <w:tcW w:w="1292" w:type="dxa"/>
            <w:vAlign w:val="center"/>
          </w:tcPr>
          <w:p>
            <w:pPr>
              <w:jc w:val="center"/>
              <w:rPr>
                <w:rFonts w:hint="default" w:asciiTheme="minorEastAsia" w:hAnsiTheme="minorEastAsia" w:eastAsiaTheme="minorEastAsia" w:cstheme="minorEastAsia"/>
                <w:szCs w:val="24"/>
                <w:highlight w:val="none"/>
                <w:lang w:val="en-US" w:eastAsia="zh-CN"/>
              </w:rPr>
            </w:pPr>
            <w:r>
              <w:rPr>
                <w:rFonts w:hint="default" w:asciiTheme="minorEastAsia" w:hAnsiTheme="minorEastAsia" w:eastAsiaTheme="minorEastAsia" w:cstheme="minorEastAsia"/>
                <w:szCs w:val="24"/>
                <w:highlight w:val="none"/>
              </w:rPr>
              <w:t>Q：4.2</w:t>
            </w:r>
          </w:p>
        </w:tc>
        <w:tc>
          <w:tcPr>
            <w:tcW w:w="10344" w:type="dxa"/>
            <w:vAlign w:val="center"/>
          </w:tcPr>
          <w:p>
            <w:pPr>
              <w:spacing w:line="360" w:lineRule="auto"/>
              <w:ind w:firstLine="420" w:firstLineChars="200"/>
              <w:rPr>
                <w:rFonts w:hint="eastAsia" w:ascii="Times New Roman" w:hAnsi="Times New Roman" w:cs="Times New Roman"/>
                <w:szCs w:val="22"/>
                <w:highlight w:val="none"/>
              </w:rPr>
            </w:pPr>
            <w:r>
              <w:rPr>
                <w:rFonts w:hint="default" w:ascii="Times New Roman" w:hAnsi="Times New Roman" w:cs="Times New Roman"/>
                <w:szCs w:val="22"/>
                <w:highlight w:val="none"/>
              </w:rPr>
              <w:t>相关方包括</w:t>
            </w:r>
            <w:r>
              <w:rPr>
                <w:rFonts w:hint="eastAsia" w:ascii="Times New Roman" w:hAnsi="Times New Roman" w:cs="Times New Roman"/>
                <w:szCs w:val="22"/>
                <w:highlight w:val="none"/>
                <w:lang w:val="en-US" w:eastAsia="zh-CN"/>
              </w:rPr>
              <w:t>主要包括</w:t>
            </w:r>
            <w:r>
              <w:rPr>
                <w:rFonts w:hint="eastAsia" w:ascii="Times New Roman" w:hAnsi="Times New Roman" w:cs="Times New Roman"/>
                <w:szCs w:val="22"/>
                <w:highlight w:val="none"/>
              </w:rPr>
              <w:t>员工、法律法规和监管机构、顾客、供方、周边邻居等。</w:t>
            </w:r>
          </w:p>
          <w:p>
            <w:pPr>
              <w:spacing w:line="360" w:lineRule="auto"/>
              <w:ind w:firstLine="420" w:firstLineChars="200"/>
              <w:rPr>
                <w:rFonts w:hint="default" w:ascii="Times New Roman" w:hAnsi="Times New Roman" w:cs="Times New Roman"/>
                <w:szCs w:val="22"/>
                <w:highlight w:val="none"/>
                <w:lang w:val="en-US" w:eastAsia="zh-CN"/>
              </w:rPr>
            </w:pPr>
            <w:r>
              <w:rPr>
                <w:rFonts w:hint="eastAsia" w:ascii="Times New Roman" w:hAnsi="Times New Roman" w:cs="Times New Roman"/>
                <w:szCs w:val="22"/>
                <w:highlight w:val="none"/>
              </w:rPr>
              <w:t>相关方进行监视和评审的方式方法：公司通过走访、会议、客户要求等方式对相关方的信息进行监视和评审。抽相关方列表</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较上年度无较大变化。</w:t>
            </w:r>
          </w:p>
          <w:p>
            <w:pPr>
              <w:spacing w:line="360" w:lineRule="auto"/>
              <w:ind w:firstLine="420" w:firstLineChars="200"/>
              <w:rPr>
                <w:rFonts w:hint="eastAsia" w:ascii="Times New Roman" w:hAnsi="Times New Roman" w:cs="Times New Roman"/>
                <w:szCs w:val="22"/>
                <w:highlight w:val="none"/>
              </w:rPr>
            </w:pPr>
            <w:r>
              <w:rPr>
                <w:rFonts w:hint="default" w:ascii="Times New Roman" w:hAnsi="Times New Roman" w:cs="Times New Roman"/>
                <w:szCs w:val="22"/>
                <w:highlight w:val="none"/>
              </w:rPr>
              <w:t>相关方期望和要求为</w:t>
            </w:r>
            <w:r>
              <w:rPr>
                <w:rFonts w:hint="eastAsia" w:ascii="Times New Roman" w:hAnsi="Times New Roman" w:cs="Times New Roman"/>
                <w:szCs w:val="22"/>
                <w:highlight w:val="none"/>
              </w:rPr>
              <w:t>顾客：产品质量符合要求，及时交货，物料材质环保、售后服务等</w:t>
            </w:r>
          </w:p>
          <w:p>
            <w:pPr>
              <w:spacing w:line="360" w:lineRule="auto"/>
              <w:ind w:firstLine="420" w:firstLineChars="200"/>
              <w:rPr>
                <w:rFonts w:hint="eastAsia" w:ascii="Times New Roman" w:hAnsi="Times New Roman" w:cs="Times New Roman"/>
                <w:szCs w:val="22"/>
                <w:highlight w:val="none"/>
              </w:rPr>
            </w:pPr>
            <w:r>
              <w:rPr>
                <w:rFonts w:hint="eastAsia" w:ascii="Times New Roman" w:hAnsi="Times New Roman" w:cs="Times New Roman"/>
                <w:szCs w:val="22"/>
                <w:highlight w:val="none"/>
              </w:rPr>
              <w:t>供方：回款及时、物料、设备质量、环保、安全等</w:t>
            </w:r>
          </w:p>
          <w:p>
            <w:pPr>
              <w:spacing w:line="360" w:lineRule="auto"/>
              <w:ind w:firstLine="420" w:firstLineChars="200"/>
              <w:rPr>
                <w:rFonts w:hint="eastAsia" w:ascii="Times New Roman" w:hAnsi="Times New Roman" w:cs="Times New Roman"/>
                <w:szCs w:val="22"/>
                <w:highlight w:val="none"/>
              </w:rPr>
            </w:pPr>
            <w:r>
              <w:rPr>
                <w:rFonts w:hint="eastAsia" w:ascii="Times New Roman" w:hAnsi="Times New Roman" w:cs="Times New Roman"/>
                <w:szCs w:val="22"/>
                <w:highlight w:val="none"/>
              </w:rPr>
              <w:t>上级主管部门：经营中遵纪守法、无安全事故，不经销假冒产品</w:t>
            </w:r>
          </w:p>
          <w:p>
            <w:pPr>
              <w:spacing w:line="360" w:lineRule="auto"/>
              <w:ind w:firstLine="420" w:firstLineChars="200"/>
              <w:rPr>
                <w:rFonts w:hint="eastAsia" w:ascii="Times New Roman" w:hAnsi="Times New Roman" w:cs="Times New Roman"/>
                <w:szCs w:val="22"/>
                <w:highlight w:val="none"/>
              </w:rPr>
            </w:pPr>
            <w:r>
              <w:rPr>
                <w:rFonts w:hint="eastAsia" w:ascii="Times New Roman" w:hAnsi="Times New Roman" w:cs="Times New Roman"/>
                <w:szCs w:val="22"/>
                <w:highlight w:val="none"/>
              </w:rPr>
              <w:t>员工：薪资福利、工作环境、安全保障等</w:t>
            </w:r>
          </w:p>
          <w:p>
            <w:pPr>
              <w:spacing w:line="360" w:lineRule="auto"/>
              <w:ind w:firstLine="420" w:firstLineChars="200"/>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szCs w:val="22"/>
                <w:highlight w:val="none"/>
              </w:rPr>
              <w:t>基本识别了与组织管理体系有关的相关方和要求</w:t>
            </w:r>
            <w:r>
              <w:rPr>
                <w:rFonts w:hint="default" w:ascii="Times New Roman" w:hAnsi="Times New Roman" w:cs="Times New Roman"/>
                <w:szCs w:val="22"/>
                <w:highlight w:val="none"/>
                <w:lang w:val="zh-CN"/>
              </w:rPr>
              <w:t>。</w:t>
            </w:r>
          </w:p>
        </w:tc>
        <w:tc>
          <w:tcPr>
            <w:tcW w:w="1054"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19" w:type="dxa"/>
            <w:vAlign w:val="center"/>
          </w:tcPr>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应对风险和机遇的措施</w:t>
            </w:r>
          </w:p>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确定管理体系的范围</w:t>
            </w:r>
          </w:p>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管理体系及其过程</w:t>
            </w:r>
          </w:p>
          <w:p>
            <w:pPr>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变更的策划</w:t>
            </w:r>
          </w:p>
          <w:p>
            <w:pPr>
              <w:rPr>
                <w:rFonts w:hint="default"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体系变动情况</w:t>
            </w:r>
          </w:p>
          <w:p>
            <w:pPr>
              <w:pStyle w:val="2"/>
              <w:jc w:val="both"/>
              <w:rPr>
                <w:rFonts w:hint="default" w:eastAsia="宋体"/>
                <w:highlight w:val="none"/>
                <w:lang w:val="en-US" w:eastAsia="zh-CN"/>
              </w:rPr>
            </w:pPr>
            <w:r>
              <w:rPr>
                <w:rFonts w:hint="eastAsia" w:ascii="Times New Roman" w:hAnsi="Times New Roman" w:eastAsia="宋体" w:cs="Times New Roman"/>
                <w:b w:val="0"/>
                <w:kern w:val="2"/>
                <w:sz w:val="21"/>
                <w:szCs w:val="22"/>
                <w:highlight w:val="none"/>
                <w:lang w:val="en-US" w:eastAsia="zh-CN" w:bidi="ar-SA"/>
              </w:rPr>
              <w:t>删减确认</w:t>
            </w:r>
          </w:p>
        </w:tc>
        <w:tc>
          <w:tcPr>
            <w:tcW w:w="1292" w:type="dxa"/>
            <w:vAlign w:val="center"/>
          </w:tcPr>
          <w:p>
            <w:pPr>
              <w:jc w:val="center"/>
              <w:rPr>
                <w:rFonts w:hint="eastAsia" w:asciiTheme="minorEastAsia" w:hAnsiTheme="minorEastAsia" w:eastAsiaTheme="minorEastAsia" w:cstheme="minorEastAsia"/>
                <w:szCs w:val="24"/>
                <w:highlight w:val="none"/>
                <w:lang w:val="en-US" w:eastAsia="zh-CN"/>
              </w:rPr>
            </w:pPr>
            <w:r>
              <w:rPr>
                <w:rFonts w:hint="default" w:asciiTheme="minorEastAsia" w:hAnsiTheme="minorEastAsia" w:eastAsiaTheme="minorEastAsia" w:cstheme="minorEastAsia"/>
                <w:szCs w:val="24"/>
                <w:highlight w:val="none"/>
              </w:rPr>
              <w:t>Q：</w:t>
            </w:r>
            <w:r>
              <w:rPr>
                <w:rFonts w:hint="eastAsia" w:asciiTheme="minorEastAsia" w:hAnsiTheme="minorEastAsia" w:eastAsiaTheme="minorEastAsia" w:cstheme="minorEastAsia"/>
                <w:szCs w:val="24"/>
                <w:highlight w:val="none"/>
                <w:lang w:val="en-US" w:eastAsia="zh-CN"/>
              </w:rPr>
              <w:t>6.1</w:t>
            </w:r>
          </w:p>
          <w:p>
            <w:pPr>
              <w:jc w:val="center"/>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4.3</w:t>
            </w:r>
          </w:p>
          <w:p>
            <w:pPr>
              <w:jc w:val="center"/>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4.4</w:t>
            </w:r>
          </w:p>
          <w:p>
            <w:pPr>
              <w:jc w:val="center"/>
              <w:rPr>
                <w:rFonts w:hint="default"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lang w:val="en-US" w:eastAsia="zh-CN"/>
              </w:rPr>
              <w:t>6.3</w:t>
            </w:r>
          </w:p>
          <w:p>
            <w:pPr>
              <w:jc w:val="center"/>
              <w:rPr>
                <w:rFonts w:hint="default"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8.3</w:t>
            </w:r>
          </w:p>
        </w:tc>
        <w:tc>
          <w:tcPr>
            <w:tcW w:w="10344" w:type="dxa"/>
            <w:vAlign w:val="center"/>
          </w:tcPr>
          <w:p>
            <w:pPr>
              <w:spacing w:line="360" w:lineRule="auto"/>
              <w:ind w:firstLine="420" w:firstLineChars="200"/>
              <w:rPr>
                <w:rFonts w:hint="eastAsia"/>
                <w:highlight w:val="none"/>
                <w:lang w:val="en-US" w:eastAsia="zh-CN"/>
              </w:rPr>
            </w:pPr>
            <w:r>
              <w:rPr>
                <w:rFonts w:hint="eastAsia"/>
                <w:highlight w:val="none"/>
                <w:lang w:val="en-US" w:eastAsia="zh-CN"/>
              </w:rPr>
              <w:t>基于对4.1和4.2的考虑，分析了公司存在的风险和机遇：</w:t>
            </w:r>
          </w:p>
          <w:p>
            <w:pPr>
              <w:spacing w:line="360" w:lineRule="auto"/>
              <w:ind w:firstLine="420" w:firstLineChars="200"/>
              <w:rPr>
                <w:rFonts w:hint="default"/>
                <w:highlight w:val="none"/>
                <w:lang w:val="en-US" w:eastAsia="zh-CN"/>
              </w:rPr>
            </w:pPr>
            <w:r>
              <w:rPr>
                <w:rFonts w:hint="eastAsia"/>
                <w:highlight w:val="none"/>
                <w:lang w:val="en-US" w:eastAsia="zh-CN"/>
              </w:rPr>
              <w:t>机遇：政策影响和经济发展的走势，</w:t>
            </w:r>
            <w:r>
              <w:rPr>
                <w:rFonts w:hint="default"/>
                <w:highlight w:val="none"/>
                <w:lang w:val="en-US" w:eastAsia="zh-CN"/>
              </w:rPr>
              <w:t>对企业有较好的</w:t>
            </w:r>
            <w:r>
              <w:rPr>
                <w:rFonts w:hint="eastAsia"/>
                <w:highlight w:val="none"/>
                <w:lang w:val="en-US" w:eastAsia="zh-CN"/>
              </w:rPr>
              <w:t>的发展机遇</w:t>
            </w:r>
            <w:r>
              <w:rPr>
                <w:rFonts w:hint="default"/>
                <w:highlight w:val="none"/>
                <w:lang w:val="en-US" w:eastAsia="zh-CN"/>
              </w:rPr>
              <w:t>。</w:t>
            </w:r>
          </w:p>
          <w:p>
            <w:pPr>
              <w:spacing w:line="360" w:lineRule="auto"/>
              <w:ind w:firstLine="420" w:firstLineChars="200"/>
              <w:rPr>
                <w:rFonts w:hint="default"/>
                <w:highlight w:val="none"/>
                <w:lang w:val="en-US" w:eastAsia="zh-CN"/>
              </w:rPr>
            </w:pPr>
            <w:r>
              <w:rPr>
                <w:rFonts w:hint="eastAsia"/>
                <w:highlight w:val="none"/>
                <w:lang w:val="en-US" w:eastAsia="zh-CN"/>
              </w:rPr>
              <w:t>风险：政策管控和产业政策的变化可能给公司带来发展的风险</w:t>
            </w:r>
            <w:r>
              <w:rPr>
                <w:rFonts w:hint="default"/>
                <w:highlight w:val="none"/>
                <w:lang w:val="en-US" w:eastAsia="zh-CN"/>
              </w:rPr>
              <w:t>。</w:t>
            </w:r>
          </w:p>
          <w:p>
            <w:pPr>
              <w:spacing w:line="360" w:lineRule="auto"/>
              <w:ind w:firstLine="420" w:firstLineChars="200"/>
              <w:rPr>
                <w:rFonts w:hint="eastAsia"/>
                <w:highlight w:val="none"/>
                <w:lang w:val="en-US" w:eastAsia="zh-CN"/>
              </w:rPr>
            </w:pPr>
            <w:r>
              <w:rPr>
                <w:rFonts w:hint="default"/>
                <w:highlight w:val="none"/>
                <w:lang w:val="en-US" w:eastAsia="zh-CN"/>
              </w:rPr>
              <w:t>编制有《风险和机遇的应对控制程序》，对组织内外的风险和机遇进行了策划。</w:t>
            </w:r>
            <w:r>
              <w:rPr>
                <w:rFonts w:hint="eastAsia"/>
                <w:highlight w:val="none"/>
                <w:lang w:val="en-US" w:eastAsia="zh-CN"/>
              </w:rPr>
              <w:t>介绍说，公司</w:t>
            </w:r>
            <w:r>
              <w:rPr>
                <w:rFonts w:hint="default"/>
                <w:highlight w:val="none"/>
                <w:lang w:val="en-US" w:eastAsia="zh-CN"/>
              </w:rPr>
              <w:t>识别了风险和机遇来源、风险和机遇内容、管理措施、责任部门、实时时间、评价措施等</w:t>
            </w:r>
            <w:r>
              <w:rPr>
                <w:rFonts w:hint="eastAsia"/>
                <w:highlight w:val="none"/>
                <w:lang w:val="en-US" w:eastAsia="zh-CN"/>
              </w:rPr>
              <w:t>；</w:t>
            </w:r>
          </w:p>
          <w:p>
            <w:pPr>
              <w:spacing w:line="360" w:lineRule="auto"/>
              <w:ind w:firstLine="420" w:firstLineChars="200"/>
              <w:rPr>
                <w:rFonts w:hint="eastAsia"/>
                <w:highlight w:val="none"/>
                <w:lang w:val="en-US" w:eastAsia="zh-CN"/>
              </w:rPr>
            </w:pPr>
            <w:r>
              <w:rPr>
                <w:rFonts w:hint="eastAsia"/>
                <w:highlight w:val="none"/>
                <w:lang w:val="en-US" w:eastAsia="zh-CN"/>
              </w:rPr>
              <w:t>为应对相应风险和机遇，公司依据GB/T19001-2016标准的要求并结合本公司的具体情况，采取PDCA的过程方法，建立、实施、保持并持续改进质量管理体系。</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质量管理体系于</w:t>
            </w:r>
            <w:r>
              <w:rPr>
                <w:rFonts w:hint="eastAsia"/>
                <w:szCs w:val="21"/>
                <w:highlight w:val="none"/>
              </w:rPr>
              <w:t>2018年7月1日</w:t>
            </w:r>
            <w:r>
              <w:rPr>
                <w:rFonts w:hint="eastAsia" w:ascii="Times New Roman" w:hAnsi="Times New Roman" w:eastAsia="宋体" w:cs="Times New Roman"/>
                <w:szCs w:val="22"/>
                <w:highlight w:val="none"/>
                <w:lang w:val="en-US" w:eastAsia="zh-CN"/>
              </w:rPr>
              <w:t>建立并正式实施。</w:t>
            </w:r>
          </w:p>
          <w:p>
            <w:pPr>
              <w:spacing w:line="360" w:lineRule="auto"/>
              <w:ind w:firstLine="420" w:firstLineChars="200"/>
              <w:rPr>
                <w:rFonts w:hint="eastAsia"/>
                <w:highlight w:val="none"/>
                <w:lang w:val="en-US" w:eastAsia="zh-CN"/>
              </w:rPr>
            </w:pPr>
            <w:r>
              <w:rPr>
                <w:rFonts w:hint="eastAsia"/>
                <w:highlight w:val="none"/>
                <w:lang w:val="en-US" w:eastAsia="zh-CN"/>
              </w:rPr>
              <w:t>识别了目标管理、资源管理、文件管理、采购、生产制备、绩效监测、改进等过程。</w:t>
            </w:r>
          </w:p>
          <w:p>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工艺流程：</w:t>
            </w:r>
          </w:p>
          <w:p>
            <w:pPr>
              <w:spacing w:line="360" w:lineRule="auto"/>
              <w:ind w:firstLine="420" w:firstLineChars="200"/>
              <w:rPr>
                <w:rFonts w:hint="eastAsia" w:ascii="宋体" w:hAnsi="宋体"/>
                <w:highlight w:val="none"/>
                <w:lang w:eastAsia="zh-CN"/>
              </w:rPr>
            </w:pPr>
            <w:r>
              <w:rPr>
                <w:rFonts w:hint="eastAsia" w:ascii="宋体" w:hAnsi="宋体"/>
                <w:highlight w:val="none"/>
              </w:rPr>
              <w:t>二氧化硅超微细白炭黑、消光粉</w:t>
            </w:r>
            <w:r>
              <w:rPr>
                <w:rFonts w:hint="eastAsia" w:ascii="宋体" w:hAnsi="宋体"/>
                <w:highlight w:val="none"/>
                <w:lang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投料——粉碎——布袋集料——成品检验——装袋——包装——入库</w:t>
            </w:r>
          </w:p>
          <w:p>
            <w:pPr>
              <w:spacing w:line="360" w:lineRule="auto"/>
              <w:ind w:firstLine="420" w:firstLineChars="200"/>
              <w:rPr>
                <w:rFonts w:hint="eastAsia" w:eastAsia="宋体"/>
                <w:highlight w:val="none"/>
                <w:lang w:val="en-US" w:eastAsia="zh-CN"/>
              </w:rPr>
            </w:pPr>
            <w:r>
              <w:rPr>
                <w:rFonts w:hint="eastAsia" w:ascii="宋体" w:hAnsi="宋体"/>
                <w:highlight w:val="none"/>
              </w:rPr>
              <w:t>改性白炭黑</w:t>
            </w:r>
            <w:r>
              <w:rPr>
                <w:rFonts w:hint="eastAsia" w:ascii="宋体" w:hAnsi="宋体"/>
                <w:highlight w:val="none"/>
                <w:lang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highlight w:val="none"/>
                <w:lang w:val="en-US" w:eastAsia="zh-CN"/>
              </w:rPr>
              <w:t>投料（超微细白炭黑、偶联剂喷雾状）——混合——粉碎——</w:t>
            </w:r>
            <w:r>
              <w:rPr>
                <w:rFonts w:hint="eastAsia" w:ascii="Times New Roman" w:hAnsi="Times New Roman" w:eastAsia="宋体" w:cs="Times New Roman"/>
                <w:szCs w:val="22"/>
                <w:highlight w:val="none"/>
                <w:lang w:val="en-US" w:eastAsia="zh-CN"/>
              </w:rPr>
              <w:t>布袋集料——成品检验——装袋——包装——入库</w:t>
            </w:r>
          </w:p>
          <w:p>
            <w:pPr>
              <w:spacing w:line="360" w:lineRule="auto"/>
              <w:ind w:firstLine="420" w:firstLineChars="200"/>
              <w:rPr>
                <w:rFonts w:hint="default"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关键过程为：粉</w:t>
            </w:r>
            <w:r>
              <w:rPr>
                <w:rFonts w:hint="default" w:ascii="Times New Roman" w:hAnsi="Times New Roman" w:cs="Times New Roman"/>
                <w:szCs w:val="22"/>
                <w:highlight w:val="none"/>
                <w:lang w:val="en-US" w:eastAsia="zh-CN"/>
              </w:rPr>
              <w:t>碎</w:t>
            </w:r>
            <w:r>
              <w:rPr>
                <w:rFonts w:hint="eastAsia" w:ascii="Times New Roman" w:hAnsi="Times New Roman" w:cs="Times New Roman"/>
                <w:szCs w:val="22"/>
                <w:highlight w:val="none"/>
                <w:lang w:val="en-US" w:eastAsia="zh-CN"/>
              </w:rPr>
              <w:t>；</w:t>
            </w:r>
          </w:p>
          <w:p>
            <w:pPr>
              <w:spacing w:line="360" w:lineRule="auto"/>
              <w:ind w:firstLine="420" w:firstLineChars="200"/>
              <w:rPr>
                <w:rFonts w:hint="eastAsia" w:ascii="宋体" w:hAnsi="宋体" w:cs="宋体"/>
                <w:bCs/>
                <w:sz w:val="21"/>
                <w:szCs w:val="21"/>
                <w:highlight w:val="none"/>
              </w:rPr>
            </w:pPr>
            <w:r>
              <w:rPr>
                <w:rFonts w:hint="eastAsia"/>
                <w:highlight w:val="none"/>
                <w:lang w:val="en-US" w:eastAsia="zh-CN"/>
              </w:rPr>
              <w:t>删减条款Q8.3，</w:t>
            </w:r>
            <w:r>
              <w:rPr>
                <w:rFonts w:hint="eastAsia" w:ascii="宋体" w:hAnsi="宋体" w:cs="宋体"/>
                <w:bCs/>
                <w:sz w:val="21"/>
                <w:szCs w:val="21"/>
                <w:highlight w:val="none"/>
              </w:rPr>
              <w:t>本公司</w:t>
            </w:r>
            <w:r>
              <w:rPr>
                <w:rFonts w:hint="eastAsia" w:asciiTheme="minorEastAsia" w:hAnsiTheme="minorEastAsia" w:eastAsiaTheme="minorEastAsia" w:cstheme="minorEastAsia"/>
                <w:szCs w:val="21"/>
                <w:highlight w:val="none"/>
              </w:rPr>
              <w:t>依据国家/行业标准/顾客要求／图纸进行加工 ,流程、工艺、人员、设备均未发生变更</w:t>
            </w:r>
            <w:r>
              <w:rPr>
                <w:rFonts w:hint="eastAsia" w:ascii="宋体" w:hAnsi="宋体" w:cs="宋体"/>
                <w:bCs/>
                <w:sz w:val="21"/>
                <w:szCs w:val="21"/>
                <w:highlight w:val="none"/>
              </w:rPr>
              <w:t>，其过程中不涉及标准条款内容：GB/T19001-2016/ISO 9001：2015标准中的8.3条款。其不适用性不影响公司的</w:t>
            </w:r>
            <w:r>
              <w:rPr>
                <w:rFonts w:hint="eastAsia" w:ascii="宋体" w:hAnsi="宋体" w:cs="宋体"/>
                <w:bCs/>
                <w:sz w:val="21"/>
                <w:szCs w:val="21"/>
                <w:highlight w:val="none"/>
                <w:lang w:val="en-US" w:eastAsia="zh-CN"/>
              </w:rPr>
              <w:t>生产</w:t>
            </w:r>
            <w:r>
              <w:rPr>
                <w:rFonts w:hint="eastAsia" w:ascii="宋体" w:hAnsi="宋体" w:cs="宋体"/>
                <w:bCs/>
                <w:sz w:val="21"/>
                <w:szCs w:val="21"/>
                <w:highlight w:val="none"/>
              </w:rPr>
              <w:t>。</w:t>
            </w:r>
          </w:p>
          <w:p>
            <w:pPr>
              <w:spacing w:line="360" w:lineRule="auto"/>
              <w:ind w:firstLine="420" w:firstLineChars="200"/>
              <w:rPr>
                <w:rFonts w:hint="default" w:ascii="Times New Roman" w:hAnsi="Times New Roman" w:eastAsia="宋体" w:cs="Times New Roman"/>
                <w:kern w:val="2"/>
                <w:sz w:val="21"/>
                <w:szCs w:val="24"/>
                <w:highlight w:val="none"/>
                <w:lang w:val="en-US" w:eastAsia="zh-CN" w:bidi="ar-SA"/>
              </w:rPr>
            </w:pPr>
            <w:r>
              <w:rPr>
                <w:rFonts w:hint="eastAsia" w:ascii="宋体" w:hAnsi="宋体" w:cs="宋体"/>
                <w:bCs/>
                <w:sz w:val="21"/>
                <w:szCs w:val="21"/>
                <w:highlight w:val="none"/>
                <w:lang w:val="en-US" w:eastAsia="zh-CN"/>
              </w:rPr>
              <w:t>公司管理体系建立以来尚未发生变更。</w:t>
            </w:r>
          </w:p>
        </w:tc>
        <w:tc>
          <w:tcPr>
            <w:tcW w:w="1054"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19" w:type="dxa"/>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领导作用和承诺</w:t>
            </w:r>
          </w:p>
          <w:p>
            <w:pPr>
              <w:rPr>
                <w:rFonts w:hint="default" w:ascii="Times New Roman" w:hAnsi="Times New Roman" w:eastAsia="宋体" w:cs="Times New Roman"/>
                <w:b/>
                <w:kern w:val="2"/>
                <w:sz w:val="21"/>
                <w:szCs w:val="24"/>
                <w:highlight w:val="none"/>
                <w:lang w:val="en-US" w:eastAsia="zh-CN" w:bidi="ar-SA"/>
              </w:rPr>
            </w:pPr>
            <w:r>
              <w:rPr>
                <w:rFonts w:hint="eastAsia" w:ascii="Times New Roman" w:hAnsi="Times New Roman" w:cs="Times New Roman"/>
                <w:szCs w:val="24"/>
                <w:highlight w:val="none"/>
              </w:rPr>
              <w:t>组织的岗位职责和权限</w:t>
            </w:r>
          </w:p>
        </w:tc>
        <w:tc>
          <w:tcPr>
            <w:tcW w:w="1292" w:type="dxa"/>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Q：5.1</w:t>
            </w:r>
          </w:p>
          <w:p>
            <w:pPr>
              <w:jc w:val="center"/>
              <w:rPr>
                <w:rFonts w:hint="default" w:ascii="Times New Roman" w:hAnsi="Times New Roman" w:eastAsia="宋体" w:cs="Times New Roman"/>
                <w:b/>
                <w:kern w:val="2"/>
                <w:sz w:val="21"/>
                <w:szCs w:val="24"/>
                <w:highlight w:val="none"/>
                <w:lang w:val="en-US" w:eastAsia="zh-CN" w:bidi="ar-SA"/>
              </w:rPr>
            </w:pPr>
            <w:r>
              <w:rPr>
                <w:rFonts w:hint="eastAsia" w:asciiTheme="minorEastAsia" w:hAnsiTheme="minorEastAsia" w:eastAsiaTheme="minorEastAsia" w:cstheme="minorEastAsia"/>
                <w:szCs w:val="24"/>
                <w:highlight w:val="none"/>
                <w:lang w:val="en-US" w:eastAsia="zh-CN"/>
              </w:rPr>
              <w:t>5.3</w:t>
            </w:r>
          </w:p>
        </w:tc>
        <w:tc>
          <w:tcPr>
            <w:tcW w:w="10344" w:type="dxa"/>
            <w:vAlign w:val="center"/>
          </w:tcPr>
          <w:p>
            <w:pPr>
              <w:spacing w:line="360" w:lineRule="auto"/>
              <w:ind w:firstLine="420" w:firstLineChars="200"/>
              <w:rPr>
                <w:rFonts w:hint="eastAsia"/>
                <w:szCs w:val="21"/>
                <w:highlight w:val="none"/>
              </w:rPr>
            </w:pPr>
            <w:r>
              <w:rPr>
                <w:rFonts w:hint="eastAsia"/>
                <w:szCs w:val="21"/>
                <w:highlight w:val="none"/>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总经理主持建立了质量管理体系，对管理体系的运行和保持进行了适当的授权，提供了必需的资源，能履行其管理承诺。</w:t>
            </w:r>
          </w:p>
          <w:p>
            <w:pPr>
              <w:spacing w:line="360" w:lineRule="auto"/>
              <w:ind w:firstLine="420" w:firstLineChars="200"/>
              <w:rPr>
                <w:rFonts w:hint="eastAsia"/>
                <w:szCs w:val="21"/>
                <w:highlight w:val="none"/>
              </w:rPr>
            </w:pPr>
            <w:r>
              <w:rPr>
                <w:rFonts w:hint="eastAsia"/>
                <w:szCs w:val="21"/>
                <w:highlight w:val="none"/>
              </w:rPr>
              <w:t>企业设置了</w:t>
            </w:r>
            <w:r>
              <w:rPr>
                <w:rFonts w:hint="eastAsia"/>
                <w:szCs w:val="21"/>
                <w:highlight w:val="none"/>
                <w:lang w:val="en-US" w:eastAsia="zh-CN"/>
              </w:rPr>
              <w:t>行政部</w:t>
            </w:r>
            <w:r>
              <w:rPr>
                <w:rFonts w:hint="eastAsia"/>
                <w:szCs w:val="21"/>
                <w:highlight w:val="none"/>
              </w:rPr>
              <w:t>、</w:t>
            </w:r>
            <w:r>
              <w:rPr>
                <w:rFonts w:hint="eastAsia"/>
                <w:szCs w:val="21"/>
                <w:highlight w:val="none"/>
                <w:lang w:val="en-US" w:eastAsia="zh-CN"/>
              </w:rPr>
              <w:t>供销部</w:t>
            </w:r>
            <w:r>
              <w:rPr>
                <w:rFonts w:hint="eastAsia"/>
                <w:szCs w:val="21"/>
                <w:highlight w:val="none"/>
              </w:rPr>
              <w:t>、生产部等部门</w:t>
            </w:r>
            <w:r>
              <w:rPr>
                <w:rFonts w:hint="eastAsia"/>
                <w:szCs w:val="21"/>
                <w:highlight w:val="none"/>
                <w:lang w:eastAsia="zh-CN"/>
              </w:rPr>
              <w:t>；</w:t>
            </w:r>
            <w:r>
              <w:rPr>
                <w:rFonts w:hint="eastAsia"/>
                <w:szCs w:val="21"/>
                <w:highlight w:val="none"/>
              </w:rPr>
              <w:t>并对各部门的作用、职责、权限进行了划分，提供的管理手册中确定了组织机构图、职能分配表，各部门作用、职责、权限界定基本清楚，并与实际情况基本相符。</w:t>
            </w:r>
          </w:p>
          <w:p>
            <w:pPr>
              <w:spacing w:line="360" w:lineRule="auto"/>
              <w:ind w:firstLine="420" w:firstLineChars="200"/>
              <w:rPr>
                <w:rFonts w:hint="default" w:ascii="Times New Roman" w:hAnsi="Times New Roman" w:eastAsia="宋体" w:cs="Times New Roman"/>
                <w:kern w:val="2"/>
                <w:sz w:val="21"/>
                <w:szCs w:val="24"/>
                <w:highlight w:val="none"/>
                <w:lang w:val="en-US" w:eastAsia="zh-CN" w:bidi="ar-SA"/>
              </w:rPr>
            </w:pPr>
            <w:r>
              <w:rPr>
                <w:rFonts w:hint="eastAsia"/>
                <w:szCs w:val="21"/>
                <w:highlight w:val="none"/>
              </w:rPr>
              <w:t>最高管理者负责岗位的设定、职责和权限的指派工作。并有通过文件、会议、培训等方式将职责、权限传达到组织相关部门及层次。审核发现组织的角色、职责和权限基本得到有效沟通和贯彻实施。</w:t>
            </w:r>
          </w:p>
        </w:tc>
        <w:tc>
          <w:tcPr>
            <w:tcW w:w="1054" w:type="dxa"/>
            <w:vAlign w:val="center"/>
          </w:tcPr>
          <w:p>
            <w:pPr>
              <w:jc w:val="center"/>
              <w:rPr>
                <w:rFonts w:hint="default" w:ascii="Times New Roman" w:hAnsi="Times New Roman" w:cs="Times New Roman"/>
                <w:sz w:val="24"/>
                <w:szCs w:val="24"/>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019" w:type="dxa"/>
            <w:vAlign w:val="center"/>
          </w:tcPr>
          <w:p>
            <w:pPr>
              <w:rPr>
                <w:rFonts w:hint="default"/>
                <w:highlight w:val="none"/>
              </w:rPr>
            </w:pPr>
            <w:r>
              <w:rPr>
                <w:rFonts w:hint="default"/>
                <w:highlight w:val="none"/>
              </w:rPr>
              <w:t>方针</w:t>
            </w:r>
          </w:p>
          <w:p>
            <w:pPr>
              <w:pStyle w:val="3"/>
              <w:jc w:val="both"/>
              <w:rPr>
                <w:rFonts w:hint="default"/>
                <w:highlight w:val="none"/>
              </w:rPr>
            </w:pPr>
            <w:r>
              <w:rPr>
                <w:rFonts w:hint="default" w:ascii="Times New Roman" w:hAnsi="Times New Roman" w:eastAsia="宋体" w:cs="Times New Roman"/>
                <w:b w:val="0"/>
                <w:kern w:val="2"/>
                <w:sz w:val="21"/>
                <w:szCs w:val="22"/>
                <w:highlight w:val="none"/>
                <w:lang w:val="en-US" w:eastAsia="zh-CN" w:bidi="ar-SA"/>
              </w:rPr>
              <w:t>目标和措施计划</w:t>
            </w:r>
          </w:p>
        </w:tc>
        <w:tc>
          <w:tcPr>
            <w:tcW w:w="1292" w:type="dxa"/>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 xml:space="preserve">Q：5.2 </w:t>
            </w:r>
          </w:p>
          <w:p>
            <w:pPr>
              <w:jc w:val="center"/>
              <w:rPr>
                <w:rFonts w:hint="default" w:ascii="Times New Roman" w:hAnsi="Times New Roman" w:cs="Times New Roman"/>
                <w:szCs w:val="24"/>
                <w:highlight w:val="none"/>
              </w:rPr>
            </w:pPr>
            <w:r>
              <w:rPr>
                <w:rFonts w:hint="default" w:asciiTheme="minorEastAsia" w:hAnsiTheme="minorEastAsia" w:eastAsiaTheme="minorEastAsia" w:cstheme="minorEastAsia"/>
                <w:szCs w:val="24"/>
                <w:highlight w:val="none"/>
              </w:rPr>
              <w:t xml:space="preserve">6.2 </w:t>
            </w:r>
          </w:p>
        </w:tc>
        <w:tc>
          <w:tcPr>
            <w:tcW w:w="10344" w:type="dxa"/>
            <w:vAlign w:val="center"/>
          </w:tcPr>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“科技领先、产品创优、用户满意、诚信双赢”</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方针在质量手册中予以规定，经总经理批准实施。</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方针体现以下几个方面：</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a)与公司的宗旨相适应：以人为本，与顾客同发展，为社会创造价值；</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 xml:space="preserve">b)包括了对产品质量和顾客要求以及持续改进管理体系有效性的承诺； </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c)提供了制定和评审质量目标的框架。</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可为相关方获取。</w:t>
            </w:r>
          </w:p>
          <w:p>
            <w:pPr>
              <w:spacing w:line="360" w:lineRule="auto"/>
              <w:ind w:firstLine="420" w:firstLineChars="200"/>
              <w:rPr>
                <w:rFonts w:hint="default"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质量方针基本适宜。</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质量目标：</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产品一次检验合格率≥95%；</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产品出厂合格率100%；</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顾客满意度92分以上。</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制定“公司目标实施措施表”，对目标实现进行了策划；并将目标分解到各部门；</w:t>
            </w:r>
          </w:p>
          <w:p>
            <w:pPr>
              <w:spacing w:line="360" w:lineRule="auto"/>
              <w:ind w:firstLine="420" w:firstLineChars="200"/>
              <w:rPr>
                <w:rFonts w:hint="eastAsia" w:ascii="Times New Roman" w:hAnsi="Times New Roman" w:eastAsia="宋体" w:cs="Times New Roman"/>
                <w:szCs w:val="24"/>
                <w:highlight w:val="none"/>
                <w:lang w:val="en-US" w:eastAsia="zh-CN"/>
              </w:rPr>
            </w:pPr>
            <w:r>
              <w:rPr>
                <w:rFonts w:hint="eastAsia" w:ascii="Times New Roman" w:hAnsi="Times New Roman" w:eastAsia="宋体" w:cs="Times New Roman"/>
                <w:szCs w:val="24"/>
                <w:highlight w:val="none"/>
                <w:lang w:val="en-US" w:eastAsia="zh-CN"/>
              </w:rPr>
              <w:t>“质量目标考核表”显示对目标完成情况进行了考核，均完成</w:t>
            </w:r>
            <w:r>
              <w:rPr>
                <w:rFonts w:hint="eastAsia" w:cs="Times New Roman"/>
                <w:szCs w:val="24"/>
                <w:highlight w:val="none"/>
                <w:lang w:val="en-US" w:eastAsia="zh-CN"/>
              </w:rPr>
              <w:t>。</w:t>
            </w:r>
          </w:p>
        </w:tc>
        <w:tc>
          <w:tcPr>
            <w:tcW w:w="1054" w:type="dxa"/>
            <w:vAlign w:val="center"/>
          </w:tcPr>
          <w:p>
            <w:pPr>
              <w:jc w:val="center"/>
              <w:rPr>
                <w:rFonts w:hint="default" w:ascii="Times New Roman" w:hAnsi="Times New Roman" w:cs="Times New Roman"/>
                <w:sz w:val="24"/>
                <w:szCs w:val="24"/>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19" w:type="dxa"/>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资源</w:t>
            </w:r>
          </w:p>
        </w:tc>
        <w:tc>
          <w:tcPr>
            <w:tcW w:w="1292" w:type="dxa"/>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Q：7.1</w:t>
            </w:r>
          </w:p>
        </w:tc>
        <w:tc>
          <w:tcPr>
            <w:tcW w:w="10344" w:type="dxa"/>
            <w:vAlign w:val="center"/>
          </w:tcPr>
          <w:p>
            <w:pPr>
              <w:ind w:firstLine="420" w:firstLineChars="200"/>
              <w:rPr>
                <w:rFonts w:hint="default" w:eastAsia="宋体"/>
                <w:color w:val="auto"/>
                <w:szCs w:val="22"/>
                <w:highlight w:val="none"/>
                <w:lang w:val="en-US" w:eastAsia="zh-CN"/>
              </w:rPr>
            </w:pPr>
            <w:r>
              <w:rPr>
                <w:rFonts w:hint="eastAsia" w:asciiTheme="minorEastAsia" w:hAnsiTheme="minorEastAsia" w:eastAsiaTheme="minorEastAsia" w:cstheme="minorEastAsia"/>
                <w:szCs w:val="21"/>
                <w:highlight w:val="none"/>
              </w:rPr>
              <w:t>公司</w:t>
            </w:r>
            <w:r>
              <w:rPr>
                <w:rFonts w:hint="eastAsia"/>
                <w:szCs w:val="22"/>
                <w:highlight w:val="none"/>
                <w:lang w:val="en-US" w:eastAsia="zh-CN"/>
              </w:rPr>
              <w:t>注册资金200万元；</w:t>
            </w:r>
            <w:r>
              <w:rPr>
                <w:rFonts w:hint="eastAsia" w:asciiTheme="minorEastAsia" w:hAnsiTheme="minorEastAsia" w:eastAsiaTheme="minorEastAsia" w:cstheme="minorEastAsia"/>
                <w:szCs w:val="21"/>
                <w:highlight w:val="none"/>
              </w:rPr>
              <w:t>占地面积500平方米左右，办公区100平米左右。</w:t>
            </w:r>
          </w:p>
          <w:p>
            <w:pPr>
              <w:spacing w:line="360" w:lineRule="auto"/>
              <w:ind w:firstLine="420" w:firstLineChars="200"/>
              <w:rPr>
                <w:rFonts w:hint="eastAsia"/>
                <w:szCs w:val="21"/>
                <w:highlight w:val="none"/>
              </w:rPr>
            </w:pPr>
            <w:r>
              <w:rPr>
                <w:rFonts w:hint="eastAsia"/>
                <w:color w:val="auto"/>
                <w:szCs w:val="22"/>
                <w:highlight w:val="none"/>
                <w:lang w:val="en-US" w:eastAsia="zh-CN"/>
              </w:rPr>
              <w:t>公司现有人数20人，主要设备有</w:t>
            </w:r>
            <w:r>
              <w:rPr>
                <w:rFonts w:hint="eastAsia"/>
                <w:szCs w:val="21"/>
                <w:highlight w:val="none"/>
              </w:rPr>
              <w:t>生产检测设备：螺杆空压机、包装整形机、储气罐、冷冻式干燥机、精密过滤器、气流粉碎机、自动包装机、布袋除尘、环保设备等。</w:t>
            </w:r>
          </w:p>
          <w:p>
            <w:pPr>
              <w:spacing w:line="360" w:lineRule="auto"/>
              <w:ind w:firstLine="420" w:firstLineChars="200"/>
              <w:rPr>
                <w:rFonts w:hint="default" w:ascii="Times New Roman" w:hAnsi="Times New Roman" w:cs="Times New Roman"/>
                <w:szCs w:val="24"/>
                <w:highlight w:val="none"/>
              </w:rPr>
            </w:pPr>
            <w:r>
              <w:rPr>
                <w:rFonts w:hint="eastAsia"/>
                <w:color w:val="auto"/>
                <w:szCs w:val="22"/>
                <w:highlight w:val="none"/>
                <w:lang w:val="en-US" w:eastAsia="zh-CN"/>
              </w:rPr>
              <w:t>现有的设备基本能够满足业务服务要求。</w:t>
            </w:r>
          </w:p>
        </w:tc>
        <w:tc>
          <w:tcPr>
            <w:tcW w:w="1054" w:type="dxa"/>
            <w:vAlign w:val="center"/>
          </w:tcPr>
          <w:p>
            <w:pPr>
              <w:jc w:val="center"/>
              <w:rPr>
                <w:rFonts w:hint="default" w:ascii="Times New Roman" w:hAnsi="Times New Roman" w:cs="Times New Roman"/>
                <w:sz w:val="24"/>
                <w:szCs w:val="24"/>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9" w:type="dxa"/>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信息交流</w:t>
            </w:r>
          </w:p>
        </w:tc>
        <w:tc>
          <w:tcPr>
            <w:tcW w:w="1292" w:type="dxa"/>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Q：7.4</w:t>
            </w:r>
          </w:p>
        </w:tc>
        <w:tc>
          <w:tcPr>
            <w:tcW w:w="10344" w:type="dxa"/>
            <w:vAlign w:val="center"/>
          </w:tcPr>
          <w:p>
            <w:pPr>
              <w:spacing w:line="360" w:lineRule="auto"/>
              <w:ind w:firstLine="468"/>
              <w:rPr>
                <w:rFonts w:hint="default" w:ascii="Times New Roman" w:hAnsi="Times New Roman" w:cs="Times New Roman"/>
                <w:szCs w:val="24"/>
                <w:highlight w:val="none"/>
              </w:rPr>
            </w:pPr>
            <w:r>
              <w:rPr>
                <w:rFonts w:hint="default" w:ascii="Times New Roman" w:hAnsi="Times New Roman" w:cs="Times New Roman"/>
                <w:szCs w:val="24"/>
                <w:highlight w:val="none"/>
              </w:rPr>
              <w:t>组织在各部门之间建立了与体系有关的信息通渠沟道，借助于会议、电话、口头交流等方式使全体员工达到沟通和理解。目前各部门协调一致，工作上的借口基本理顺。</w:t>
            </w:r>
          </w:p>
          <w:p>
            <w:pPr>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编制了《信息交流、协商和沟通控制程序》，确了内部外部信息交流的内容及职责，基本符合。</w:t>
            </w:r>
          </w:p>
          <w:p>
            <w:pPr>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对外部相关方进行信息的交流方式：通过文件传真、接收通知、现场交流、合同协议、上网、施加影响等方式沟通协商，目前主要是接收上级通知；与供方通过合同就采购产品的要求进行沟通；</w:t>
            </w:r>
          </w:p>
          <w:p>
            <w:pPr>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内部、外部沟通协商的机制已建立运行，有效。</w:t>
            </w:r>
          </w:p>
          <w:p>
            <w:pPr>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现场查见会议记录、通知通报、培训记录、文件签收等组织内部培训方式相关记录。现有的沟通渠道和方法能满足要求。审核中未发现因沟通不利不及时而造成（影响）某项工作不能正常运行的情况。</w:t>
            </w:r>
          </w:p>
        </w:tc>
        <w:tc>
          <w:tcPr>
            <w:tcW w:w="1054" w:type="dxa"/>
            <w:vAlign w:val="center"/>
          </w:tcPr>
          <w:p>
            <w:pPr>
              <w:jc w:val="center"/>
              <w:rPr>
                <w:rFonts w:hint="default" w:ascii="Times New Roman" w:hAnsi="Times New Roman" w:cs="Times New Roman"/>
                <w:sz w:val="24"/>
                <w:szCs w:val="24"/>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019" w:type="dxa"/>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管理评审</w:t>
            </w:r>
          </w:p>
        </w:tc>
        <w:tc>
          <w:tcPr>
            <w:tcW w:w="1292" w:type="dxa"/>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 xml:space="preserve">Q：9.3  </w:t>
            </w:r>
          </w:p>
        </w:tc>
        <w:tc>
          <w:tcPr>
            <w:tcW w:w="10344" w:type="dxa"/>
            <w:vAlign w:val="center"/>
          </w:tcPr>
          <w:p>
            <w:pPr>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查看《管理评审程序》，</w:t>
            </w:r>
            <w:r>
              <w:rPr>
                <w:rFonts w:hint="eastAsia" w:cs="Times New Roman"/>
                <w:szCs w:val="24"/>
                <w:highlight w:val="none"/>
                <w:lang w:val="en-US" w:eastAsia="zh-CN"/>
              </w:rPr>
              <w:t>有效文件</w:t>
            </w:r>
            <w:r>
              <w:rPr>
                <w:rFonts w:hint="default" w:ascii="Times New Roman" w:hAnsi="Times New Roman" w:cs="Times New Roman"/>
                <w:szCs w:val="24"/>
                <w:highlight w:val="none"/>
              </w:rPr>
              <w:t>。</w:t>
            </w:r>
          </w:p>
          <w:p>
            <w:pPr>
              <w:spacing w:line="360" w:lineRule="auto"/>
              <w:ind w:firstLine="420" w:firstLineChars="200"/>
              <w:rPr>
                <w:rFonts w:hint="eastAsia"/>
                <w:highlight w:val="none"/>
                <w:lang w:val="en-US" w:eastAsia="zh-CN"/>
              </w:rPr>
            </w:pPr>
            <w:r>
              <w:rPr>
                <w:rFonts w:hint="eastAsia" w:ascii="Times New Roman" w:hAnsi="Times New Roman" w:cs="Times New Roman"/>
                <w:szCs w:val="22"/>
                <w:highlight w:val="none"/>
                <w:lang w:val="en-US" w:eastAsia="zh-CN"/>
              </w:rPr>
              <w:t>2021年6月24日在公司会议室由黄岳平总经</w:t>
            </w:r>
            <w:r>
              <w:rPr>
                <w:rFonts w:hint="eastAsia"/>
                <w:highlight w:val="none"/>
                <w:lang w:val="en-US" w:eastAsia="zh-CN"/>
              </w:rPr>
              <w:t>理主持召开管理评审会议；</w:t>
            </w:r>
          </w:p>
          <w:p>
            <w:pPr>
              <w:spacing w:line="360" w:lineRule="auto"/>
              <w:ind w:firstLine="420" w:firstLineChars="200"/>
              <w:rPr>
                <w:rFonts w:hint="eastAsia"/>
                <w:highlight w:val="none"/>
                <w:lang w:val="en-US" w:eastAsia="zh-CN"/>
              </w:rPr>
            </w:pPr>
            <w:r>
              <w:rPr>
                <w:rFonts w:hint="eastAsia"/>
                <w:highlight w:val="none"/>
                <w:lang w:val="en-US" w:eastAsia="zh-CN"/>
              </w:rPr>
              <w:t>保留管理评审计划、管理评审报告、管理评审会议纪要等；</w:t>
            </w:r>
          </w:p>
          <w:p>
            <w:pPr>
              <w:spacing w:line="360" w:lineRule="auto"/>
              <w:ind w:firstLine="420" w:firstLineChars="200"/>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管理评审输入未见到对上周期管理评审改进措施的跟踪情况，交流；</w:t>
            </w:r>
          </w:p>
          <w:p>
            <w:pPr>
              <w:spacing w:line="360" w:lineRule="auto"/>
              <w:ind w:firstLine="420" w:firstLineChars="200"/>
              <w:rPr>
                <w:rFonts w:hint="eastAsia"/>
                <w:highlight w:val="none"/>
                <w:lang w:val="en-US" w:eastAsia="zh-CN"/>
              </w:rPr>
            </w:pPr>
            <w:r>
              <w:rPr>
                <w:rFonts w:hint="eastAsia"/>
                <w:highlight w:val="none"/>
                <w:lang w:val="en-US" w:eastAsia="zh-CN"/>
              </w:rPr>
              <w:t>管理评审结论：质量管理体系的建立和运行是充分的、适宜的、有效的。</w:t>
            </w:r>
          </w:p>
          <w:p>
            <w:pPr>
              <w:spacing w:line="360" w:lineRule="auto"/>
              <w:ind w:firstLine="420" w:firstLineChars="200"/>
              <w:rPr>
                <w:rFonts w:hint="eastAsia"/>
                <w:highlight w:val="none"/>
                <w:lang w:val="en-US" w:eastAsia="zh-CN"/>
              </w:rPr>
            </w:pPr>
            <w:r>
              <w:rPr>
                <w:rFonts w:hint="eastAsia"/>
                <w:highlight w:val="none"/>
                <w:lang w:val="en-US" w:eastAsia="zh-CN"/>
              </w:rPr>
              <w:t>改进措施要求：进一步组织对GB/T19001-2016/ISO 9001：2015标准、《管理手册》、《程序文件》的学习和培训等2项。</w:t>
            </w:r>
          </w:p>
          <w:p>
            <w:pPr>
              <w:spacing w:line="360" w:lineRule="auto"/>
              <w:ind w:firstLine="420" w:firstLineChars="200"/>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szCs w:val="22"/>
                <w:highlight w:val="none"/>
                <w:lang w:val="en-US" w:eastAsia="zh-CN"/>
              </w:rPr>
              <w:t>保留有“管理评审改进措施计划”。</w:t>
            </w:r>
          </w:p>
        </w:tc>
        <w:tc>
          <w:tcPr>
            <w:tcW w:w="1054" w:type="dxa"/>
            <w:vAlign w:val="center"/>
          </w:tcPr>
          <w:p>
            <w:pPr>
              <w:jc w:val="center"/>
              <w:rPr>
                <w:rFonts w:hint="default" w:ascii="Times New Roman" w:hAnsi="Times New Roman" w:cs="Times New Roman"/>
                <w:sz w:val="24"/>
                <w:szCs w:val="24"/>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19" w:type="dxa"/>
            <w:vAlign w:val="center"/>
          </w:tcPr>
          <w:p>
            <w:pPr>
              <w:rPr>
                <w:rFonts w:hint="default" w:ascii="Times New Roman" w:hAnsi="Times New Roman" w:cs="Times New Roman"/>
                <w:szCs w:val="24"/>
                <w:highlight w:val="none"/>
              </w:rPr>
            </w:pPr>
            <w:r>
              <w:rPr>
                <w:rFonts w:hint="default" w:ascii="Times New Roman" w:hAnsi="Times New Roman" w:cs="Times New Roman"/>
                <w:szCs w:val="24"/>
                <w:highlight w:val="none"/>
              </w:rPr>
              <w:t>改进</w:t>
            </w:r>
          </w:p>
        </w:tc>
        <w:tc>
          <w:tcPr>
            <w:tcW w:w="1292" w:type="dxa"/>
            <w:vAlign w:val="center"/>
          </w:tcPr>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Q：10.1</w:t>
            </w:r>
          </w:p>
          <w:p>
            <w:pPr>
              <w:jc w:val="center"/>
              <w:rPr>
                <w:rFonts w:hint="default" w:asciiTheme="minorEastAsia" w:hAnsiTheme="minorEastAsia" w:eastAsiaTheme="minorEastAsia" w:cstheme="minorEastAsia"/>
                <w:szCs w:val="24"/>
                <w:highlight w:val="none"/>
              </w:rPr>
            </w:pPr>
            <w:r>
              <w:rPr>
                <w:rFonts w:hint="default" w:asciiTheme="minorEastAsia" w:hAnsiTheme="minorEastAsia" w:eastAsiaTheme="minorEastAsia" w:cstheme="minorEastAsia"/>
                <w:szCs w:val="24"/>
                <w:highlight w:val="none"/>
              </w:rPr>
              <w:t>10.3</w:t>
            </w:r>
          </w:p>
        </w:tc>
        <w:tc>
          <w:tcPr>
            <w:tcW w:w="10344" w:type="dxa"/>
            <w:vAlign w:val="center"/>
          </w:tcPr>
          <w:p>
            <w:pPr>
              <w:snapToGrid w:val="0"/>
              <w:spacing w:line="360" w:lineRule="auto"/>
              <w:ind w:firstLine="420" w:firstLineChars="200"/>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管理者代表根据总经理意图组织持续改进过程的策划工作，由</w:t>
            </w:r>
            <w:r>
              <w:rPr>
                <w:rFonts w:hint="eastAsia" w:cs="Times New Roman"/>
                <w:color w:val="000000"/>
                <w:szCs w:val="24"/>
                <w:highlight w:val="none"/>
                <w:lang w:val="en-US" w:eastAsia="zh-CN"/>
              </w:rPr>
              <w:t>行政部</w:t>
            </w:r>
            <w:r>
              <w:rPr>
                <w:rFonts w:hint="default" w:ascii="Times New Roman" w:hAnsi="Times New Roman" w:cs="Times New Roman"/>
                <w:color w:val="000000"/>
                <w:szCs w:val="24"/>
                <w:highlight w:val="none"/>
              </w:rPr>
              <w:t>实施持续改进过程的管理。</w:t>
            </w:r>
          </w:p>
          <w:p>
            <w:pPr>
              <w:snapToGrid w:val="0"/>
              <w:spacing w:line="360" w:lineRule="auto"/>
              <w:ind w:firstLine="420" w:firstLineChars="200"/>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snapToGrid w:val="0"/>
              <w:spacing w:line="360" w:lineRule="auto"/>
              <w:ind w:firstLine="420" w:firstLineChars="200"/>
              <w:rPr>
                <w:rFonts w:hint="default" w:ascii="Times New Roman" w:hAnsi="Times New Roman" w:cs="Times New Roman"/>
                <w:szCs w:val="24"/>
                <w:highlight w:val="none"/>
              </w:rPr>
            </w:pPr>
            <w:r>
              <w:rPr>
                <w:rFonts w:hint="default" w:ascii="Times New Roman" w:hAnsi="Times New Roman" w:cs="Times New Roman"/>
                <w:szCs w:val="24"/>
                <w:highlight w:val="none"/>
              </w:rPr>
              <w:t>自体系运行以来，全员的质量意识有较大的提高，持续改进了管理体系的有效性。</w:t>
            </w:r>
          </w:p>
        </w:tc>
        <w:tc>
          <w:tcPr>
            <w:tcW w:w="1054" w:type="dxa"/>
            <w:vAlign w:val="center"/>
          </w:tcPr>
          <w:p>
            <w:pPr>
              <w:jc w:val="center"/>
              <w:rPr>
                <w:rFonts w:hint="default" w:ascii="Times New Roman" w:hAnsi="Times New Roman" w:cs="Times New Roman"/>
                <w:sz w:val="24"/>
                <w:szCs w:val="24"/>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19" w:type="dxa"/>
            <w:vAlign w:val="top"/>
          </w:tcPr>
          <w:p>
            <w:pPr>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Arial"/>
                <w:spacing w:val="-6"/>
                <w:sz w:val="21"/>
                <w:szCs w:val="21"/>
                <w:highlight w:val="none"/>
              </w:rPr>
              <w:t>验证资质</w:t>
            </w:r>
          </w:p>
        </w:tc>
        <w:tc>
          <w:tcPr>
            <w:tcW w:w="1292" w:type="dxa"/>
            <w:vAlign w:val="top"/>
          </w:tcPr>
          <w:p>
            <w:pPr>
              <w:rPr>
                <w:rFonts w:hint="eastAsia" w:asciiTheme="majorEastAsia" w:hAnsiTheme="majorEastAsia" w:eastAsiaTheme="majorEastAsia" w:cstheme="majorEastAsia"/>
                <w:kern w:val="2"/>
                <w:sz w:val="21"/>
                <w:szCs w:val="21"/>
                <w:highlight w:val="none"/>
                <w:lang w:val="en-US" w:eastAsia="zh-CN" w:bidi="ar-SA"/>
              </w:rPr>
            </w:pPr>
          </w:p>
        </w:tc>
        <w:tc>
          <w:tcPr>
            <w:tcW w:w="10344" w:type="dxa"/>
            <w:vAlign w:val="top"/>
          </w:tcPr>
          <w:p>
            <w:pPr>
              <w:spacing w:line="360" w:lineRule="auto"/>
              <w:ind w:firstLine="420" w:firstLineChars="200"/>
              <w:rPr>
                <w:rFonts w:hint="eastAsia" w:asciiTheme="majorEastAsia" w:hAnsiTheme="majorEastAsia" w:eastAsiaTheme="majorEastAsia" w:cstheme="majorEastAsia"/>
                <w:kern w:val="2"/>
                <w:sz w:val="21"/>
                <w:szCs w:val="21"/>
                <w:highlight w:val="none"/>
                <w:lang w:val="en-US" w:eastAsia="zh-CN" w:bidi="ar-SA"/>
              </w:rPr>
            </w:pPr>
            <w:r>
              <w:rPr>
                <w:rFonts w:hint="eastAsia" w:ascii="Times New Roman" w:hAnsi="Times New Roman" w:eastAsia="宋体" w:cs="Times New Roman"/>
                <w:szCs w:val="22"/>
                <w:highlight w:val="none"/>
                <w:lang w:val="en-US" w:eastAsia="zh-CN"/>
              </w:rPr>
              <w:t>经查验营业执照有效。信用平台查询，无不良信息。</w:t>
            </w:r>
          </w:p>
        </w:tc>
        <w:tc>
          <w:tcPr>
            <w:tcW w:w="1054" w:type="dxa"/>
            <w:vAlign w:val="center"/>
          </w:tcPr>
          <w:p>
            <w:pPr>
              <w:jc w:val="center"/>
              <w:rPr>
                <w:rFonts w:hint="eastAsia" w:asciiTheme="majorEastAsia" w:hAnsiTheme="majorEastAsia" w:eastAsiaTheme="majorEastAsia" w:cstheme="majorEastAsia"/>
                <w:sz w:val="21"/>
                <w:szCs w:val="21"/>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9" w:type="dxa"/>
            <w:vAlign w:val="top"/>
          </w:tcPr>
          <w:p>
            <w:pPr>
              <w:rPr>
                <w:rFonts w:hint="eastAsia" w:ascii="宋体" w:hAnsi="宋体" w:cs="Arial"/>
                <w:spacing w:val="-6"/>
                <w:sz w:val="21"/>
                <w:szCs w:val="21"/>
                <w:highlight w:val="none"/>
              </w:rPr>
            </w:pPr>
            <w:r>
              <w:rPr>
                <w:rFonts w:hint="eastAsia" w:ascii="宋体" w:hAnsi="宋体" w:cs="Arial"/>
                <w:spacing w:val="-6"/>
                <w:sz w:val="21"/>
                <w:szCs w:val="21"/>
                <w:highlight w:val="none"/>
              </w:rPr>
              <w:t>国家/地方抽查</w:t>
            </w:r>
          </w:p>
          <w:p>
            <w:pPr>
              <w:rPr>
                <w:rFonts w:hint="eastAsia" w:ascii="宋体" w:hAnsi="宋体" w:cs="Arial"/>
                <w:spacing w:val="-6"/>
                <w:sz w:val="21"/>
                <w:szCs w:val="21"/>
                <w:highlight w:val="none"/>
              </w:rPr>
            </w:pPr>
            <w:r>
              <w:rPr>
                <w:rFonts w:hint="eastAsia" w:ascii="宋体" w:hAnsi="宋体" w:cs="Arial"/>
                <w:spacing w:val="-6"/>
                <w:sz w:val="21"/>
                <w:szCs w:val="21"/>
                <w:highlight w:val="none"/>
              </w:rPr>
              <w:t>顾客满意</w:t>
            </w:r>
          </w:p>
          <w:p>
            <w:pPr>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Arial"/>
                <w:spacing w:val="-6"/>
                <w:sz w:val="21"/>
                <w:szCs w:val="21"/>
                <w:highlight w:val="none"/>
              </w:rPr>
              <w:t>相关方投诉处理</w:t>
            </w:r>
          </w:p>
        </w:tc>
        <w:tc>
          <w:tcPr>
            <w:tcW w:w="1292" w:type="dxa"/>
            <w:vAlign w:val="top"/>
          </w:tcPr>
          <w:p>
            <w:pPr>
              <w:rPr>
                <w:rFonts w:hint="eastAsia" w:asciiTheme="majorEastAsia" w:hAnsiTheme="majorEastAsia" w:eastAsiaTheme="majorEastAsia" w:cstheme="majorEastAsia"/>
                <w:kern w:val="2"/>
                <w:sz w:val="21"/>
                <w:szCs w:val="21"/>
                <w:highlight w:val="none"/>
                <w:lang w:val="en-US" w:eastAsia="zh-CN" w:bidi="ar-SA"/>
              </w:rPr>
            </w:pPr>
          </w:p>
        </w:tc>
        <w:tc>
          <w:tcPr>
            <w:tcW w:w="1034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自体系建立以来，未受到上级</w:t>
            </w:r>
            <w:bookmarkStart w:id="2" w:name="_GoBack"/>
            <w:bookmarkEnd w:id="2"/>
            <w:r>
              <w:rPr>
                <w:rFonts w:hint="eastAsia" w:ascii="Times New Roman" w:hAnsi="Times New Roman" w:eastAsia="宋体" w:cs="Times New Roman"/>
                <w:szCs w:val="22"/>
                <w:highlight w:val="none"/>
                <w:lang w:val="en-US" w:eastAsia="zh-CN"/>
              </w:rPr>
              <w:t>主管部门有关质量问题的行政处罚。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顾客满意：</w:t>
            </w:r>
            <w:r>
              <w:rPr>
                <w:rFonts w:hint="eastAsia" w:ascii="Times New Roman" w:hAnsi="Times New Roman" w:cs="Times New Roman" w:eastAsiaTheme="minorEastAsia"/>
                <w:sz w:val="21"/>
                <w:szCs w:val="21"/>
                <w:highlight w:val="none"/>
                <w:lang w:val="en-US" w:eastAsia="zh-CN"/>
              </w:rPr>
              <w:t>2021年3月11日-- 2021年3月15日，对顾客满意情况进行了调查，发放顾客满意度调查表4份，收回4份；查见“顾客满意度调查分析”，满意度99.25分。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未发生相关方的投诉。</w:t>
            </w:r>
          </w:p>
          <w:p>
            <w:pPr>
              <w:spacing w:line="360" w:lineRule="auto"/>
              <w:ind w:firstLine="420" w:firstLineChars="200"/>
              <w:rPr>
                <w:rFonts w:hint="eastAsia" w:asciiTheme="majorEastAsia" w:hAnsiTheme="majorEastAsia" w:eastAsiaTheme="majorEastAsia" w:cstheme="majorEastAsia"/>
                <w:kern w:val="2"/>
                <w:sz w:val="21"/>
                <w:szCs w:val="21"/>
                <w:highlight w:val="none"/>
                <w:lang w:val="en-US" w:eastAsia="zh-CN" w:bidi="ar-SA"/>
              </w:rPr>
            </w:pPr>
            <w:r>
              <w:rPr>
                <w:rFonts w:hint="eastAsia" w:ascii="Times New Roman" w:hAnsi="Times New Roman" w:eastAsia="宋体" w:cs="Times New Roman"/>
                <w:szCs w:val="22"/>
                <w:highlight w:val="none"/>
                <w:lang w:val="en-US" w:eastAsia="zh-CN"/>
              </w:rPr>
              <w:t>国家/地方抽查情况</w:t>
            </w:r>
            <w:r>
              <w:rPr>
                <w:rFonts w:hint="eastAsia" w:cs="Times New Roman"/>
                <w:szCs w:val="22"/>
                <w:highlight w:val="none"/>
                <w:lang w:val="en-US" w:eastAsia="zh-CN"/>
              </w:rPr>
              <w:t>，未发现本公司的质量问题，未进行过通报</w:t>
            </w:r>
            <w:r>
              <w:rPr>
                <w:rFonts w:hint="eastAsia" w:ascii="Times New Roman" w:hAnsi="Times New Roman" w:eastAsia="宋体" w:cs="Times New Roman"/>
                <w:szCs w:val="22"/>
                <w:highlight w:val="none"/>
                <w:lang w:val="en-US" w:eastAsia="zh-CN"/>
              </w:rPr>
              <w:t>。</w:t>
            </w:r>
          </w:p>
        </w:tc>
        <w:tc>
          <w:tcPr>
            <w:tcW w:w="1054" w:type="dxa"/>
            <w:vAlign w:val="center"/>
          </w:tcPr>
          <w:p>
            <w:pPr>
              <w:jc w:val="center"/>
              <w:rPr>
                <w:rFonts w:hint="eastAsia" w:asciiTheme="majorEastAsia" w:hAnsiTheme="majorEastAsia" w:eastAsiaTheme="majorEastAsia" w:cstheme="majorEastAsia"/>
                <w:sz w:val="21"/>
                <w:szCs w:val="21"/>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19" w:type="dxa"/>
            <w:vAlign w:val="top"/>
          </w:tcPr>
          <w:p>
            <w:pP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rPr>
              <w:t>证书、标志使用</w:t>
            </w:r>
          </w:p>
        </w:tc>
        <w:tc>
          <w:tcPr>
            <w:tcW w:w="1292" w:type="dxa"/>
            <w:vAlign w:val="top"/>
          </w:tcPr>
          <w:p>
            <w:pPr>
              <w:spacing w:line="360" w:lineRule="auto"/>
              <w:rPr>
                <w:rFonts w:hint="eastAsia" w:asciiTheme="majorEastAsia" w:hAnsiTheme="majorEastAsia" w:eastAsiaTheme="majorEastAsia" w:cstheme="majorEastAsia"/>
                <w:kern w:val="2"/>
                <w:sz w:val="21"/>
                <w:szCs w:val="21"/>
                <w:highlight w:val="none"/>
                <w:lang w:val="en-US" w:eastAsia="zh-CN" w:bidi="ar-SA"/>
              </w:rPr>
            </w:pPr>
          </w:p>
        </w:tc>
        <w:tc>
          <w:tcPr>
            <w:tcW w:w="10344" w:type="dxa"/>
            <w:vAlign w:val="top"/>
          </w:tcPr>
          <w:p>
            <w:pPr>
              <w:spacing w:line="360" w:lineRule="auto"/>
              <w:ind w:firstLine="420" w:firstLineChars="200"/>
              <w:rPr>
                <w:rFonts w:hint="default"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用于招投标，符合要求。</w:t>
            </w:r>
          </w:p>
        </w:tc>
        <w:tc>
          <w:tcPr>
            <w:tcW w:w="1054" w:type="dxa"/>
            <w:vAlign w:val="center"/>
          </w:tcPr>
          <w:p>
            <w:pPr>
              <w:jc w:val="center"/>
              <w:rPr>
                <w:rFonts w:hint="eastAsia" w:asciiTheme="majorEastAsia" w:hAnsiTheme="majorEastAsia" w:eastAsiaTheme="majorEastAsia" w:cstheme="majorEastAsia"/>
                <w:sz w:val="21"/>
                <w:szCs w:val="21"/>
                <w:highlight w:val="none"/>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19" w:type="dxa"/>
            <w:vAlign w:val="top"/>
          </w:tcPr>
          <w:p>
            <w:pPr>
              <w:rPr>
                <w:rFonts w:hint="eastAsia" w:ascii="宋体" w:hAnsi="宋体" w:eastAsia="宋体" w:cs="Arial"/>
                <w:spacing w:val="-6"/>
                <w:kern w:val="2"/>
                <w:sz w:val="21"/>
                <w:szCs w:val="21"/>
                <w:highlight w:val="none"/>
                <w:lang w:val="en-US" w:eastAsia="zh-CN" w:bidi="ar-SA"/>
              </w:rPr>
            </w:pPr>
            <w:r>
              <w:rPr>
                <w:rFonts w:hint="eastAsia" w:ascii="宋体" w:hAnsi="宋体"/>
                <w:sz w:val="21"/>
                <w:szCs w:val="21"/>
                <w:highlight w:val="none"/>
                <w:lang w:val="en-US" w:eastAsia="zh-CN"/>
              </w:rPr>
              <w:t>上次审核</w:t>
            </w:r>
            <w:r>
              <w:rPr>
                <w:rFonts w:hint="eastAsia" w:ascii="宋体" w:hAnsi="宋体"/>
                <w:sz w:val="21"/>
                <w:szCs w:val="21"/>
                <w:highlight w:val="none"/>
              </w:rPr>
              <w:t>不符合项的验证</w:t>
            </w:r>
          </w:p>
        </w:tc>
        <w:tc>
          <w:tcPr>
            <w:tcW w:w="1292" w:type="dxa"/>
            <w:vAlign w:val="top"/>
          </w:tcPr>
          <w:p>
            <w:pPr>
              <w:rPr>
                <w:rFonts w:hint="eastAsia" w:ascii="Times New Roman" w:hAnsi="Times New Roman" w:eastAsia="宋体" w:cs="Times New Roman"/>
                <w:kern w:val="2"/>
                <w:sz w:val="21"/>
                <w:highlight w:val="none"/>
                <w:lang w:val="en-US" w:eastAsia="zh-CN" w:bidi="ar-SA"/>
              </w:rPr>
            </w:pPr>
          </w:p>
        </w:tc>
        <w:tc>
          <w:tcPr>
            <w:tcW w:w="10344" w:type="dxa"/>
            <w:vAlign w:val="top"/>
          </w:tcPr>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color w:val="auto"/>
                <w:szCs w:val="22"/>
                <w:highlight w:val="none"/>
                <w:lang w:val="en-US" w:eastAsia="zh-CN"/>
              </w:rPr>
              <w:t>上次审核不符合项“未能提供对水分检测仪进行校准或验证的相关证据”，经现场验证，已整改。</w:t>
            </w:r>
          </w:p>
        </w:tc>
        <w:tc>
          <w:tcPr>
            <w:tcW w:w="1054" w:type="dxa"/>
            <w:vAlign w:val="center"/>
          </w:tcPr>
          <w:p>
            <w:pPr>
              <w:jc w:val="center"/>
              <w:rPr>
                <w:rFonts w:hint="eastAsia" w:asciiTheme="majorEastAsia" w:hAnsiTheme="majorEastAsia" w:eastAsiaTheme="majorEastAsia" w:cstheme="majorEastAsia"/>
                <w:sz w:val="21"/>
                <w:szCs w:val="21"/>
                <w:highlight w:val="none"/>
              </w:rPr>
            </w:pPr>
            <w:r>
              <w:rPr>
                <w:rFonts w:hint="eastAsia"/>
                <w:highlight w:val="none"/>
                <w:lang w:val="en-US" w:eastAsia="zh-CN"/>
              </w:rPr>
              <w:t>Y</w:t>
            </w:r>
          </w:p>
        </w:tc>
      </w:tr>
    </w:tbl>
    <w:p>
      <w:pPr>
        <w:jc w:val="center"/>
        <w:rPr>
          <w:rFonts w:ascii="宋体"/>
        </w:rPr>
      </w:pPr>
    </w:p>
    <w:p>
      <w:pPr>
        <w:pStyle w:val="6"/>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134" w:right="1134" w:bottom="1134" w:left="1134" w:header="851" w:footer="73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7033" y="0"/>
              <wp:lineTo x="4019" y="1440"/>
              <wp:lineTo x="-502" y="5760"/>
              <wp:lineTo x="-502" y="10080"/>
              <wp:lineTo x="0" y="15360"/>
              <wp:lineTo x="502" y="17280"/>
              <wp:lineTo x="7033" y="20640"/>
              <wp:lineTo x="11051" y="20640"/>
              <wp:lineTo x="13060" y="20640"/>
              <wp:lineTo x="13563" y="20640"/>
              <wp:lineTo x="20093" y="15360"/>
              <wp:lineTo x="21098" y="6240"/>
              <wp:lineTo x="15070" y="480"/>
              <wp:lineTo x="12558" y="0"/>
              <wp:lineTo x="7033"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4"/>
        <w:rFonts w:hint="eastAsia"/>
      </w:rPr>
      <w:t>北京国标联合认证有限公司</w:t>
    </w:r>
    <w:r>
      <w:rPr>
        <w:rStyle w:val="14"/>
      </w:rPr>
      <w:tab/>
    </w:r>
    <w:r>
      <w:rPr>
        <w:rStyle w:val="14"/>
      </w:rPr>
      <w:tab/>
    </w:r>
    <w:r>
      <w:rPr>
        <w:rStyle w:val="14"/>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6661785</wp:posOffset>
              </wp:positionH>
              <wp:positionV relativeFrom="paragraph">
                <wp:posOffset>27940</wp:posOffset>
              </wp:positionV>
              <wp:extent cx="256794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2567940" cy="256540"/>
                      </a:xfrm>
                      <a:prstGeom prst="rect">
                        <a:avLst/>
                      </a:prstGeom>
                      <a:solidFill>
                        <a:srgbClr val="FFFFFF"/>
                      </a:solidFill>
                      <a:ln>
                        <a:noFill/>
                      </a:ln>
                    </wps:spPr>
                    <wps:txbx>
                      <w:txbxContent>
                        <w:p>
                          <w:pPr>
                            <w:rPr>
                              <w:rFonts w:ascii="Times New Roman" w:hAnsi="Times New Roman" w:cs="Times New Roman"/>
                              <w:szCs w:val="22"/>
                            </w:rPr>
                          </w:pPr>
                          <w:r>
                            <w:t>ISC-B-</w:t>
                          </w:r>
                          <w:r>
                            <w:rPr>
                              <w:rFonts w:hint="eastAsia" w:ascii="Times New Roman" w:hAnsi="Times New Roman" w:cs="Times New Roman"/>
                              <w:szCs w:val="22"/>
                            </w:rPr>
                            <w:t>Ⅱ</w:t>
                          </w:r>
                          <w:r>
                            <w:rPr>
                              <w:rFonts w:ascii="Times New Roman" w:hAnsi="Times New Roman" w:cs="Times New Roman"/>
                              <w:szCs w:val="22"/>
                            </w:rPr>
                            <w:t>-</w:t>
                          </w:r>
                          <w:r>
                            <w:rPr>
                              <w:rFonts w:hint="eastAsia" w:ascii="Times New Roman" w:hAnsi="Times New Roman" w:cs="Times New Roman"/>
                              <w:szCs w:val="22"/>
                            </w:rPr>
                            <w:t>1</w:t>
                          </w:r>
                          <w:r>
                            <w:rPr>
                              <w:rFonts w:hint="eastAsia" w:cs="Times New Roman"/>
                              <w:szCs w:val="22"/>
                              <w:lang w:val="en-US" w:eastAsia="zh-CN"/>
                            </w:rPr>
                            <w:t>4</w:t>
                          </w:r>
                          <w:r>
                            <w:rPr>
                              <w:rFonts w:hint="eastAsia" w:ascii="Times New Roman" w:hAnsi="Times New Roman" w:cs="Times New Roman"/>
                              <w:szCs w:val="22"/>
                            </w:rPr>
                            <w:t>管理体系审核记录表(03版)</w:t>
                          </w:r>
                        </w:p>
                      </w:txbxContent>
                    </wps:txbx>
                    <wps:bodyPr upright="1"/>
                  </wps:wsp>
                </a:graphicData>
              </a:graphic>
            </wp:anchor>
          </w:drawing>
        </mc:Choice>
        <mc:Fallback>
          <w:pict>
            <v:shape id="_x0000_s1026" o:spid="_x0000_s1026" o:spt="202" type="#_x0000_t202" style="position:absolute;left:0pt;margin-left:524.55pt;margin-top:2.2pt;height:20.2pt;width:202.2pt;z-index:251659264;mso-width-relative:page;mso-height-relative:page;" fillcolor="#FFFFFF" filled="t" stroked="f" coordsize="21600,21600" o:gfxdata="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YQkANYAAAAKAQAADwAAAAAAAAABACAAAAAiAAAAZHJzL2Rvd25yZXYueG1sUEsB&#10;AhQAFAAAAAgAh07iQIF1Wtm+AQAAdwMAAA4AAAAAAAAAAQAgAAAAJQEAAGRycy9lMm9Eb2MueG1s&#10;UEsFBgAAAAAGAAYAWQEAAFUFAAAAAA==&#10;">
              <v:fill on="t" focussize="0,0"/>
              <v:stroke on="f"/>
              <v:imagedata o:title=""/>
              <o:lock v:ext="edit" aspectratio="f"/>
              <v:textbox>
                <w:txbxContent>
                  <w:p>
                    <w:pPr>
                      <w:rPr>
                        <w:rFonts w:ascii="Times New Roman" w:hAnsi="Times New Roman" w:cs="Times New Roman"/>
                        <w:szCs w:val="22"/>
                      </w:rPr>
                    </w:pPr>
                    <w:r>
                      <w:t>ISC-B-</w:t>
                    </w:r>
                    <w:r>
                      <w:rPr>
                        <w:rFonts w:hint="eastAsia" w:ascii="Times New Roman" w:hAnsi="Times New Roman" w:cs="Times New Roman"/>
                        <w:szCs w:val="22"/>
                      </w:rPr>
                      <w:t>Ⅱ</w:t>
                    </w:r>
                    <w:r>
                      <w:rPr>
                        <w:rFonts w:ascii="Times New Roman" w:hAnsi="Times New Roman" w:cs="Times New Roman"/>
                        <w:szCs w:val="22"/>
                      </w:rPr>
                      <w:t>-</w:t>
                    </w:r>
                    <w:r>
                      <w:rPr>
                        <w:rFonts w:hint="eastAsia" w:ascii="Times New Roman" w:hAnsi="Times New Roman" w:cs="Times New Roman"/>
                        <w:szCs w:val="22"/>
                      </w:rPr>
                      <w:t>1</w:t>
                    </w:r>
                    <w:r>
                      <w:rPr>
                        <w:rFonts w:hint="eastAsia" w:cs="Times New Roman"/>
                        <w:szCs w:val="22"/>
                        <w:lang w:val="en-US" w:eastAsia="zh-CN"/>
                      </w:rPr>
                      <w:t>4</w:t>
                    </w:r>
                    <w:r>
                      <w:rPr>
                        <w:rFonts w:hint="eastAsia" w:ascii="Times New Roman" w:hAnsi="Times New Roman" w:cs="Times New Roman"/>
                        <w:szCs w:val="22"/>
                      </w:rPr>
                      <w:t>管理体系审核记录表(03版)</w:t>
                    </w:r>
                  </w:p>
                </w:txbxContent>
              </v:textbox>
            </v:shape>
          </w:pict>
        </mc:Fallback>
      </mc:AlternateContent>
    </w:r>
    <w:r>
      <w:rPr>
        <w:rStyle w:val="14"/>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1FC4"/>
    <w:rsid w:val="000F35F1"/>
    <w:rsid w:val="000F7D53"/>
    <w:rsid w:val="001022F1"/>
    <w:rsid w:val="001037D5"/>
    <w:rsid w:val="00145688"/>
    <w:rsid w:val="0015136F"/>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061C1"/>
    <w:rsid w:val="00317401"/>
    <w:rsid w:val="00326FC1"/>
    <w:rsid w:val="00337922"/>
    <w:rsid w:val="00340867"/>
    <w:rsid w:val="00342857"/>
    <w:rsid w:val="00347E99"/>
    <w:rsid w:val="003608CB"/>
    <w:rsid w:val="003627B6"/>
    <w:rsid w:val="003708D5"/>
    <w:rsid w:val="0038061A"/>
    <w:rsid w:val="0038063B"/>
    <w:rsid w:val="00380837"/>
    <w:rsid w:val="00381318"/>
    <w:rsid w:val="00381EC5"/>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4F2F3A"/>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51F3"/>
    <w:rsid w:val="00636710"/>
    <w:rsid w:val="00642776"/>
    <w:rsid w:val="00644FE2"/>
    <w:rsid w:val="00645FB8"/>
    <w:rsid w:val="00651986"/>
    <w:rsid w:val="00653AE3"/>
    <w:rsid w:val="006545E8"/>
    <w:rsid w:val="00664736"/>
    <w:rsid w:val="00665980"/>
    <w:rsid w:val="0067640C"/>
    <w:rsid w:val="006836D9"/>
    <w:rsid w:val="006901B6"/>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4753"/>
    <w:rsid w:val="00737C8F"/>
    <w:rsid w:val="007406DE"/>
    <w:rsid w:val="00742F4E"/>
    <w:rsid w:val="00743E79"/>
    <w:rsid w:val="00744BEA"/>
    <w:rsid w:val="00751532"/>
    <w:rsid w:val="00751C37"/>
    <w:rsid w:val="0075769B"/>
    <w:rsid w:val="007757F3"/>
    <w:rsid w:val="007778C8"/>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4B2B"/>
    <w:rsid w:val="0093521F"/>
    <w:rsid w:val="00945677"/>
    <w:rsid w:val="00955B84"/>
    <w:rsid w:val="00962F78"/>
    <w:rsid w:val="0096609F"/>
    <w:rsid w:val="009701C1"/>
    <w:rsid w:val="00971600"/>
    <w:rsid w:val="00984342"/>
    <w:rsid w:val="009973B4"/>
    <w:rsid w:val="00997D09"/>
    <w:rsid w:val="009B6E9B"/>
    <w:rsid w:val="009B7EB8"/>
    <w:rsid w:val="009C74D1"/>
    <w:rsid w:val="009D36E4"/>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C00EB"/>
    <w:rsid w:val="00AD6F34"/>
    <w:rsid w:val="00AF0AAB"/>
    <w:rsid w:val="00AF156F"/>
    <w:rsid w:val="00AF616B"/>
    <w:rsid w:val="00B02A7F"/>
    <w:rsid w:val="00B0685B"/>
    <w:rsid w:val="00B218ED"/>
    <w:rsid w:val="00B22D22"/>
    <w:rsid w:val="00B23030"/>
    <w:rsid w:val="00B237B9"/>
    <w:rsid w:val="00B23CAA"/>
    <w:rsid w:val="00B410EE"/>
    <w:rsid w:val="00B73151"/>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C7683"/>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B6A43"/>
    <w:rsid w:val="00DD1C8E"/>
    <w:rsid w:val="00DE146D"/>
    <w:rsid w:val="00DE2D80"/>
    <w:rsid w:val="00DE61E7"/>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1C413C7"/>
    <w:rsid w:val="03DF7959"/>
    <w:rsid w:val="03F23C14"/>
    <w:rsid w:val="04D11507"/>
    <w:rsid w:val="04D60974"/>
    <w:rsid w:val="083D32EC"/>
    <w:rsid w:val="0B7C3187"/>
    <w:rsid w:val="0BBD6679"/>
    <w:rsid w:val="0C2D3509"/>
    <w:rsid w:val="0D5234AA"/>
    <w:rsid w:val="0EA130C7"/>
    <w:rsid w:val="0EB01422"/>
    <w:rsid w:val="0F6A174D"/>
    <w:rsid w:val="108219C2"/>
    <w:rsid w:val="10BA1B7B"/>
    <w:rsid w:val="12AA66EA"/>
    <w:rsid w:val="12BC18F4"/>
    <w:rsid w:val="14AC22DD"/>
    <w:rsid w:val="156634A3"/>
    <w:rsid w:val="17A20B00"/>
    <w:rsid w:val="18456B4F"/>
    <w:rsid w:val="186011CF"/>
    <w:rsid w:val="18B537C3"/>
    <w:rsid w:val="1A982CDB"/>
    <w:rsid w:val="1AC34F78"/>
    <w:rsid w:val="1B716657"/>
    <w:rsid w:val="1CB50662"/>
    <w:rsid w:val="1D083265"/>
    <w:rsid w:val="1D096E55"/>
    <w:rsid w:val="1D0E014B"/>
    <w:rsid w:val="1DA12916"/>
    <w:rsid w:val="1DB67E57"/>
    <w:rsid w:val="1EF27F3E"/>
    <w:rsid w:val="1F6D3086"/>
    <w:rsid w:val="226F6A0E"/>
    <w:rsid w:val="23417690"/>
    <w:rsid w:val="247A611F"/>
    <w:rsid w:val="248C74A4"/>
    <w:rsid w:val="252B1943"/>
    <w:rsid w:val="27BC7225"/>
    <w:rsid w:val="28443B5C"/>
    <w:rsid w:val="28DB5832"/>
    <w:rsid w:val="29294017"/>
    <w:rsid w:val="2B4408EF"/>
    <w:rsid w:val="2B8B5BA4"/>
    <w:rsid w:val="2D226D11"/>
    <w:rsid w:val="2E833F2E"/>
    <w:rsid w:val="2F377DD7"/>
    <w:rsid w:val="300F73FF"/>
    <w:rsid w:val="30451DDA"/>
    <w:rsid w:val="31181C09"/>
    <w:rsid w:val="33C302BC"/>
    <w:rsid w:val="34980AF5"/>
    <w:rsid w:val="349D7266"/>
    <w:rsid w:val="35126519"/>
    <w:rsid w:val="35A70061"/>
    <w:rsid w:val="3BDC2C5A"/>
    <w:rsid w:val="3CDF3F9A"/>
    <w:rsid w:val="3DC86C99"/>
    <w:rsid w:val="3DDE4D85"/>
    <w:rsid w:val="3F0F1FFC"/>
    <w:rsid w:val="42593D7E"/>
    <w:rsid w:val="427E6A36"/>
    <w:rsid w:val="433608EE"/>
    <w:rsid w:val="43486514"/>
    <w:rsid w:val="43BE4EC3"/>
    <w:rsid w:val="459A3762"/>
    <w:rsid w:val="45D64BDE"/>
    <w:rsid w:val="467D711E"/>
    <w:rsid w:val="477D4036"/>
    <w:rsid w:val="48CD514D"/>
    <w:rsid w:val="4A1E2ED8"/>
    <w:rsid w:val="4D6741BB"/>
    <w:rsid w:val="514F26BD"/>
    <w:rsid w:val="52CD43F7"/>
    <w:rsid w:val="5592239B"/>
    <w:rsid w:val="55B6126F"/>
    <w:rsid w:val="56E65B7C"/>
    <w:rsid w:val="57722FC9"/>
    <w:rsid w:val="578F0767"/>
    <w:rsid w:val="59003FF1"/>
    <w:rsid w:val="5927215D"/>
    <w:rsid w:val="596239D7"/>
    <w:rsid w:val="5A237F7F"/>
    <w:rsid w:val="5C353CFA"/>
    <w:rsid w:val="5DF70942"/>
    <w:rsid w:val="5E1A3DD1"/>
    <w:rsid w:val="5EA12B9A"/>
    <w:rsid w:val="5EB354BE"/>
    <w:rsid w:val="60BB3216"/>
    <w:rsid w:val="63673598"/>
    <w:rsid w:val="64560175"/>
    <w:rsid w:val="656E2751"/>
    <w:rsid w:val="684578DF"/>
    <w:rsid w:val="69FA2C99"/>
    <w:rsid w:val="6ABA37F6"/>
    <w:rsid w:val="6B996425"/>
    <w:rsid w:val="6C285735"/>
    <w:rsid w:val="6C8D48F9"/>
    <w:rsid w:val="6D3D70A9"/>
    <w:rsid w:val="6DF91024"/>
    <w:rsid w:val="6ECD7C3A"/>
    <w:rsid w:val="6FF06DC7"/>
    <w:rsid w:val="70A173FC"/>
    <w:rsid w:val="7110634D"/>
    <w:rsid w:val="71B1082C"/>
    <w:rsid w:val="7274016E"/>
    <w:rsid w:val="72904227"/>
    <w:rsid w:val="738614B3"/>
    <w:rsid w:val="74B32CAF"/>
    <w:rsid w:val="74BE03EB"/>
    <w:rsid w:val="74F01888"/>
    <w:rsid w:val="752C267B"/>
    <w:rsid w:val="75C91EEE"/>
    <w:rsid w:val="770F5700"/>
    <w:rsid w:val="775C3EBD"/>
    <w:rsid w:val="798E0C8A"/>
    <w:rsid w:val="7A81376E"/>
    <w:rsid w:val="7B3778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locked/>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黑体" w:eastAsia="黑体"/>
      <w:b/>
      <w:sz w:val="84"/>
    </w:rPr>
  </w:style>
  <w:style w:type="paragraph" w:styleId="4">
    <w:name w:val="Body Text Indent"/>
    <w:basedOn w:val="1"/>
    <w:qFormat/>
    <w:uiPriority w:val="0"/>
    <w:pPr>
      <w:ind w:firstLine="480"/>
    </w:pPr>
    <w:rPr>
      <w:rFonts w:ascii="宋体"/>
      <w:sz w:val="24"/>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next w:val="1"/>
    <w:link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7"/>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fontstyle01"/>
    <w:qFormat/>
    <w:uiPriority w:val="99"/>
    <w:rPr>
      <w:rFonts w:ascii="宋体" w:hAnsi="宋体" w:eastAsia="宋体" w:cs="Times New Roman"/>
      <w:color w:val="000000"/>
      <w:sz w:val="24"/>
      <w:szCs w:val="24"/>
    </w:rPr>
  </w:style>
  <w:style w:type="character" w:customStyle="1" w:styleId="16">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1128</Words>
  <Characters>6435</Characters>
  <Lines>53</Lines>
  <Paragraphs>15</Paragraphs>
  <TotalTime>2</TotalTime>
  <ScaleCrop>false</ScaleCrop>
  <LinksUpToDate>false</LinksUpToDate>
  <CharactersWithSpaces>7548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lenovo1018</cp:lastModifiedBy>
  <dcterms:modified xsi:type="dcterms:W3CDTF">2021-07-09T06:45:47Z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1BC07DF08CA04780887B14608340C8F6</vt:lpwstr>
  </property>
</Properties>
</file>