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216"/>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sz w:val="24"/>
                <w:szCs w:val="24"/>
              </w:rPr>
              <w:t>抽样计划</w:t>
            </w:r>
          </w:p>
        </w:tc>
        <w:tc>
          <w:tcPr>
            <w:tcW w:w="121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受审</w:t>
            </w:r>
            <w:r>
              <w:rPr>
                <w:rFonts w:hint="eastAsia" w:ascii="Times New Roman" w:hAnsi="Times New Roman" w:eastAsia="宋体" w:cs="Times New Roman"/>
                <w:sz w:val="24"/>
                <w:szCs w:val="24"/>
              </w:rPr>
              <w:t>核部门：</w:t>
            </w:r>
            <w:r>
              <w:rPr>
                <w:rFonts w:hint="eastAsia" w:ascii="Times New Roman" w:hAnsi="Times New Roman" w:eastAsia="宋体" w:cs="Times New Roman"/>
                <w:sz w:val="24"/>
                <w:szCs w:val="24"/>
                <w:lang w:val="en-US" w:eastAsia="zh-CN"/>
              </w:rPr>
              <w:t xml:space="preserve">发行中心部       </w:t>
            </w:r>
            <w:r>
              <w:rPr>
                <w:rFonts w:hint="eastAsia" w:ascii="宋体" w:hAnsi="宋体" w:eastAsia="宋体" w:cs="Times New Roman"/>
                <w:b/>
                <w:bCs/>
                <w:sz w:val="21"/>
                <w:szCs w:val="21"/>
                <w:lang w:val="en-US" w:eastAsia="zh-CN"/>
              </w:rPr>
              <w:t xml:space="preserve">       </w:t>
            </w:r>
            <w:r>
              <w:rPr>
                <w:rFonts w:hint="eastAsia"/>
                <w:sz w:val="24"/>
                <w:szCs w:val="24"/>
              </w:rPr>
              <w:t>主管领导：熊建宇</w:t>
            </w:r>
            <w:r>
              <w:rPr>
                <w:rFonts w:hint="eastAsia"/>
                <w:sz w:val="24"/>
                <w:szCs w:val="24"/>
                <w:lang w:val="en-US" w:eastAsia="zh-CN"/>
              </w:rPr>
              <w:t xml:space="preserve">         </w:t>
            </w:r>
            <w:r>
              <w:rPr>
                <w:rFonts w:hint="eastAsia"/>
                <w:sz w:val="24"/>
                <w:szCs w:val="24"/>
              </w:rPr>
              <w:t>陪同人员：杨锴</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sz w:val="24"/>
                <w:szCs w:val="24"/>
              </w:rPr>
              <w:t>审核员：</w:t>
            </w:r>
            <w:r>
              <w:rPr>
                <w:rFonts w:hint="eastAsia"/>
                <w:sz w:val="24"/>
                <w:szCs w:val="24"/>
                <w:lang w:val="en-US" w:eastAsia="zh-CN"/>
              </w:rPr>
              <w:t xml:space="preserve">褚敏杰  陈浩               </w:t>
            </w:r>
            <w:r>
              <w:rPr>
                <w:rFonts w:hint="eastAsia"/>
                <w:sz w:val="24"/>
                <w:szCs w:val="24"/>
              </w:rPr>
              <w:t>审核时间：</w:t>
            </w:r>
            <w:r>
              <w:rPr>
                <w:rFonts w:hint="eastAsia"/>
                <w:sz w:val="24"/>
                <w:szCs w:val="24"/>
                <w:lang w:val="en-US" w:eastAsia="zh-CN"/>
              </w:rPr>
              <w:t>2021.7.11</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2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审核条款：</w:t>
            </w:r>
          </w:p>
          <w:p>
            <w:pPr>
              <w:pStyle w:val="2"/>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Q:5.3组织的岗位、职责和权限、6.2质量目标、8.5生产和服务提供的控制、8.6放行、8.7不合格品控制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ascii="宋体" w:hAnsi="宋体" w:eastAsia="宋体" w:cs="Arial"/>
                <w:spacing w:val="-6"/>
                <w:sz w:val="21"/>
                <w:szCs w:val="21"/>
                <w:lang w:val="en-US" w:eastAsia="zh-CN"/>
              </w:rPr>
              <w:t>E/O:5.3组织的岗位、职责和权限、6.2环境/职业健康安全目标、6.1.2环境因素/危险源的识别与评价、6.1.4措施的策划、8.1运行策划和控制、8.2应急准备和响应</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04" w:type="dxa"/>
          </w:tcPr>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Arial"/>
                <w:color w:val="auto"/>
                <w:spacing w:val="-6"/>
                <w:sz w:val="21"/>
                <w:szCs w:val="21"/>
                <w:lang w:val="en-US" w:eastAsia="zh-CN"/>
              </w:rPr>
              <w:t>组织的岗位、职责和权限</w:t>
            </w:r>
          </w:p>
        </w:tc>
        <w:tc>
          <w:tcPr>
            <w:tcW w:w="121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QES:</w:t>
            </w:r>
            <w:r>
              <w:rPr>
                <w:rFonts w:hint="eastAsia" w:ascii="宋体" w:hAnsi="宋体" w:eastAsia="宋体" w:cs="Arial"/>
                <w:color w:val="auto"/>
                <w:spacing w:val="-6"/>
                <w:sz w:val="21"/>
                <w:szCs w:val="21"/>
                <w:lang w:val="en-US" w:eastAsia="zh-CN"/>
              </w:rPr>
              <w:t>5.3</w:t>
            </w:r>
          </w:p>
        </w:tc>
        <w:tc>
          <w:tcPr>
            <w:tcW w:w="10004" w:type="dxa"/>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发行中心现有6人，经理1人、测试工程师1人、发行员2人、资料管理员2人；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2"/>
                <w:lang w:val="en-US" w:eastAsia="zh-CN"/>
              </w:rPr>
            </w:pPr>
            <w:r>
              <w:rPr>
                <w:rFonts w:hint="eastAsia"/>
                <w:lang w:val="en-US" w:eastAsia="zh-CN"/>
              </w:rPr>
              <w:t>主要负责：负责电子标签、赣通卡等ETC相关设备的初始化发行工作；</w:t>
            </w:r>
            <w:r>
              <w:rPr>
                <w:rFonts w:hint="eastAsia"/>
              </w:rPr>
              <w:t>E</w:t>
            </w:r>
            <w:r>
              <w:t>TC</w:t>
            </w:r>
            <w:r>
              <w:rPr>
                <w:rFonts w:hint="eastAsia"/>
              </w:rPr>
              <w:t>相关设备的到货验收工作</w:t>
            </w:r>
            <w:r>
              <w:rPr>
                <w:rFonts w:hint="eastAsia"/>
                <w:lang w:val="en-US" w:eastAsia="zh-CN"/>
              </w:rPr>
              <w:t>以及</w:t>
            </w:r>
            <w:r>
              <w:rPr>
                <w:rFonts w:hint="eastAsia"/>
              </w:rPr>
              <w:t>沟通协调各相关</w:t>
            </w:r>
            <w:r>
              <w:rPr>
                <w:rFonts w:hint="eastAsia" w:ascii="Times New Roman" w:hAnsi="Times New Roman" w:eastAsia="宋体" w:cs="Times New Roman"/>
                <w:szCs w:val="22"/>
                <w:lang w:val="en-US" w:eastAsia="zh-CN"/>
              </w:rPr>
              <w:t>业务厂商；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lang w:val="en-US" w:eastAsia="zh-CN"/>
              </w:rPr>
            </w:pPr>
            <w:r>
              <w:rPr>
                <w:rFonts w:hint="default" w:ascii="Times New Roman" w:hAnsi="Times New Roman" w:eastAsia="宋体" w:cs="Times New Roman"/>
                <w:szCs w:val="22"/>
                <w:lang w:val="en-US" w:eastAsia="zh-CN"/>
              </w:rPr>
              <w:t>负责</w:t>
            </w:r>
            <w:r>
              <w:rPr>
                <w:rFonts w:hint="eastAsia" w:ascii="Times New Roman" w:hAnsi="Times New Roman" w:eastAsia="宋体" w:cs="Times New Roman"/>
                <w:szCs w:val="22"/>
                <w:lang w:val="en-US" w:eastAsia="zh-CN"/>
              </w:rPr>
              <w:t>本部门</w:t>
            </w:r>
            <w:r>
              <w:rPr>
                <w:rFonts w:hint="default" w:ascii="Times New Roman" w:hAnsi="Times New Roman" w:eastAsia="宋体" w:cs="Times New Roman"/>
                <w:szCs w:val="22"/>
                <w:lang w:val="en-US" w:eastAsia="zh-CN"/>
              </w:rPr>
              <w:t>管理体系环境职业健康安全的运行控制；</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0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lang w:val="en-US" w:eastAsia="zh-CN" w:bidi="ar-SA"/>
              </w:rPr>
            </w:pPr>
            <w:r>
              <w:rPr>
                <w:rFonts w:hint="eastAsia"/>
                <w:lang w:val="en-US" w:eastAsia="zh-CN"/>
              </w:rPr>
              <w:t>目标</w:t>
            </w:r>
          </w:p>
        </w:tc>
        <w:tc>
          <w:tcPr>
            <w:tcW w:w="121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Arial"/>
                <w:spacing w:val="-6"/>
                <w:kern w:val="2"/>
                <w:sz w:val="21"/>
                <w:szCs w:val="21"/>
                <w:lang w:val="en-US" w:eastAsia="zh-CN" w:bidi="ar-SA"/>
              </w:rPr>
            </w:pPr>
            <w:r>
              <w:rPr>
                <w:rFonts w:hint="eastAsia" w:ascii="宋体" w:hAnsi="宋体" w:eastAsia="宋体" w:cs="Arial"/>
                <w:spacing w:val="-6"/>
                <w:sz w:val="21"/>
                <w:szCs w:val="21"/>
                <w:lang w:val="en-US" w:eastAsia="zh-CN"/>
              </w:rPr>
              <w:t>QEO:6.2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公司以方针为框架，建立了目标，并分解到各部门，查见发行中心部目标为：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电子标签、赣通卡等ETC相关设备的初始化一次发行率95%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固废分类处置率100%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火灾事故发生次数为0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查见“管理目标、指标及其管理方案一览表”以及“各部门目标实施措施表”，见对目标实现进行了策划；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szCs w:val="22"/>
                <w:highlight w:val="none"/>
                <w:lang w:val="en-US" w:eastAsia="zh-CN"/>
              </w:rPr>
              <w:t>查见“目标考核表”，发行中心部目标均已完成。</w:t>
            </w:r>
            <w:bookmarkStart w:id="0" w:name="_GoBack"/>
            <w:bookmarkEnd w:id="0"/>
          </w:p>
        </w:tc>
        <w:tc>
          <w:tcPr>
            <w:tcW w:w="15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1"/>
                <w:lang w:val="en-US" w:eastAsia="zh-CN" w:bidi="ar-SA"/>
              </w:rPr>
            </w:pPr>
            <w:r>
              <w:rPr>
                <w:rFonts w:hint="eastAsia" w:ascii="宋体" w:hAnsi="宋体" w:cs="Arial"/>
                <w:spacing w:val="-6"/>
                <w:sz w:val="21"/>
                <w:szCs w:val="21"/>
              </w:rPr>
              <w:t>环境因素</w:t>
            </w:r>
            <w:r>
              <w:rPr>
                <w:rFonts w:hint="eastAsia" w:ascii="宋体" w:hAnsi="宋体" w:cs="Arial"/>
                <w:spacing w:val="-6"/>
                <w:sz w:val="21"/>
                <w:szCs w:val="21"/>
                <w:lang w:val="en-US" w:eastAsia="zh-CN"/>
              </w:rPr>
              <w:t>/危险源</w:t>
            </w:r>
            <w:r>
              <w:rPr>
                <w:rFonts w:hint="eastAsia" w:ascii="宋体" w:hAnsi="宋体" w:cs="Arial"/>
                <w:spacing w:val="-6"/>
                <w:sz w:val="21"/>
                <w:szCs w:val="21"/>
              </w:rPr>
              <w:t>的辨识与</w:t>
            </w:r>
            <w:r>
              <w:rPr>
                <w:rFonts w:hint="eastAsia" w:ascii="宋体" w:hAnsi="宋体" w:cs="Arial"/>
                <w:spacing w:val="-6"/>
                <w:sz w:val="21"/>
                <w:szCs w:val="21"/>
                <w:lang w:val="en-US" w:eastAsia="zh-CN"/>
              </w:rPr>
              <w:t>风险和机遇</w:t>
            </w:r>
            <w:r>
              <w:rPr>
                <w:rFonts w:hint="eastAsia" w:ascii="宋体" w:hAnsi="宋体" w:cs="Arial"/>
                <w:spacing w:val="-6"/>
                <w:sz w:val="21"/>
                <w:szCs w:val="21"/>
              </w:rPr>
              <w:t>评价、措施的策划</w:t>
            </w:r>
          </w:p>
        </w:tc>
        <w:tc>
          <w:tcPr>
            <w:tcW w:w="121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QEO:6.1.2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spacing w:val="-6"/>
                <w:kern w:val="2"/>
                <w:sz w:val="21"/>
                <w:szCs w:val="21"/>
                <w:lang w:val="en-US" w:eastAsia="zh-CN" w:bidi="ar-SA"/>
              </w:rPr>
            </w:pPr>
            <w:r>
              <w:rPr>
                <w:rFonts w:hint="eastAsia" w:ascii="宋体" w:hAnsi="宋体" w:eastAsia="宋体" w:cs="Arial"/>
                <w:spacing w:val="-6"/>
                <w:sz w:val="21"/>
                <w:szCs w:val="21"/>
                <w:lang w:val="en-US" w:eastAsia="zh-CN"/>
              </w:rPr>
              <w:t>6.1.4</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查见“环境因素和危险源识别评价与控制程序”，有效文件；</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jc w:val="left"/>
              <w:textAlignment w:val="auto"/>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查见“环境因素辨识和评价表”，对</w:t>
            </w:r>
            <w:r>
              <w:rPr>
                <w:rFonts w:hint="eastAsia"/>
                <w:sz w:val="20"/>
                <w:szCs w:val="20"/>
                <w:highlight w:val="none"/>
                <w:lang w:eastAsia="zh-CN"/>
              </w:rPr>
              <w:t>设计开发、办公、生活场所</w:t>
            </w:r>
            <w:r>
              <w:rPr>
                <w:rFonts w:hint="eastAsia"/>
                <w:sz w:val="20"/>
                <w:szCs w:val="20"/>
                <w:highlight w:val="none"/>
                <w:lang w:val="en-US" w:eastAsia="zh-CN"/>
              </w:rPr>
              <w:t>等</w:t>
            </w:r>
            <w:r>
              <w:rPr>
                <w:rFonts w:hint="eastAsia" w:ascii="宋体" w:hAnsi="宋体" w:cs="Arial"/>
                <w:spacing w:val="-6"/>
                <w:sz w:val="21"/>
                <w:szCs w:val="21"/>
                <w:highlight w:val="none"/>
                <w:lang w:val="en-US" w:eastAsia="zh-CN"/>
              </w:rPr>
              <w:t>进行辨识和评价。见有辨识生活垃圾的处置不当、废纸随意丢弃、废电池随意丢弃、纸张使用、能源消耗、废弃的日光灯管、火灾、消防等；基本合理。</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打分法评价，查见“重要环境因素清单”，明确了固废和潜在火灾两项环境因素为重要环境因素。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Arial"/>
                <w:spacing w:val="-6"/>
                <w:sz w:val="21"/>
                <w:szCs w:val="21"/>
                <w:highlight w:val="none"/>
                <w:lang w:val="en-US" w:eastAsia="zh-CN"/>
              </w:rPr>
            </w:pPr>
            <w:r>
              <w:rPr>
                <w:rFonts w:hint="eastAsia" w:ascii="宋体" w:hAnsi="宋体"/>
                <w:color w:val="000000" w:themeColor="text1"/>
                <w:szCs w:val="21"/>
                <w:highlight w:val="none"/>
                <w14:textFill>
                  <w14:solidFill>
                    <w14:schemeClr w14:val="tx1"/>
                  </w14:solidFill>
                </w14:textFill>
              </w:rPr>
              <w:t>公司通过制定目标、管理方案、应急预案、日常检查与控制等方法，对环境因素进行控制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Arial"/>
                <w:spacing w:val="-6"/>
                <w:sz w:val="21"/>
                <w:szCs w:val="21"/>
                <w:highlight w:val="none"/>
                <w:lang w:val="en-US" w:eastAsia="zh-CN"/>
              </w:rPr>
              <w:t>针对重要环境因素，制定有“环境管理目标、指标及其管理方案一览表”，明确了指标、方法、措施/技术手段、责任部门、检查部门、日常运行控制部门等；</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查见公司统一编制“职业安全健康管理体系危险源辨识、风险评价、风险控制一览表”，辨识的危险源包括计算机运行、办公活动、系统开发、采购、运输等过程中的触电、火灾、摔伤、交通事故造成的人身伤害等18项；</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作业条件危险性评价法</w:t>
            </w:r>
            <w:r>
              <w:rPr>
                <w:rFonts w:hint="eastAsia" w:ascii="宋体" w:hAnsi="宋体" w:cs="Arial"/>
                <w:spacing w:val="-6"/>
                <w:sz w:val="21"/>
                <w:szCs w:val="21"/>
                <w:highlight w:val="none"/>
                <w:lang w:val="en-US" w:eastAsia="zh-CN"/>
              </w:rPr>
              <w:t>评价，触电和潜在火灾2项为不可接受风险；</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查见“重大危险源清单”，明确了触电和潜在火灾为重大危险源；针对重大危险源制订了“职业健康安全管理目标及方案”，明确了技术措施、经费预算、时间、责任部门、验证部门等。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kern w:val="2"/>
                <w:sz w:val="21"/>
                <w:highlight w:val="none"/>
                <w:lang w:val="en-US" w:eastAsia="zh-CN" w:bidi="ar-SA"/>
              </w:rPr>
            </w:pPr>
            <w:r>
              <w:rPr>
                <w:rFonts w:hint="eastAsia" w:ascii="宋体" w:hAnsi="宋体"/>
                <w:color w:val="000000" w:themeColor="text1"/>
                <w:szCs w:val="21"/>
                <w:highlight w:val="none"/>
                <w14:textFill>
                  <w14:solidFill>
                    <w14:schemeClr w14:val="tx1"/>
                  </w14:solidFill>
                </w14:textFill>
              </w:rPr>
              <w:t>公司通过制定目标、管理方案、应急预案、日常检查与控制等方法</w:t>
            </w:r>
            <w:r>
              <w:rPr>
                <w:rFonts w:hint="eastAsia" w:ascii="宋体" w:hAnsi="宋体"/>
                <w:color w:val="000000" w:themeColor="text1"/>
                <w:szCs w:val="21"/>
                <w:highlight w:val="none"/>
                <w:lang w:val="en-US" w:eastAsia="zh-CN"/>
                <w14:textFill>
                  <w14:solidFill>
                    <w14:schemeClr w14:val="tx1"/>
                  </w14:solidFill>
                </w14:textFill>
              </w:rPr>
              <w:t>进行控制</w:t>
            </w:r>
            <w:r>
              <w:rPr>
                <w:rFonts w:hint="eastAsia" w:ascii="宋体" w:hAnsi="宋体" w:cs="Arial"/>
                <w:color w:val="auto"/>
                <w:spacing w:val="-6"/>
                <w:sz w:val="21"/>
                <w:szCs w:val="21"/>
                <w:highlight w:val="none"/>
                <w:lang w:val="en-US" w:eastAsia="zh-CN"/>
              </w:rPr>
              <w:t>。</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0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spacing w:val="-6"/>
                <w:sz w:val="21"/>
                <w:szCs w:val="21"/>
                <w:lang w:val="en-US" w:eastAsia="zh-CN"/>
              </w:rPr>
            </w:pPr>
            <w:r>
              <w:rPr>
                <w:rFonts w:hint="eastAsia" w:ascii="宋体" w:hAnsi="宋体" w:cs="Arial"/>
                <w:spacing w:val="-6"/>
                <w:sz w:val="21"/>
                <w:szCs w:val="21"/>
                <w:lang w:val="en-US" w:eastAsia="zh-CN"/>
              </w:rPr>
              <w:t>运行控制</w:t>
            </w:r>
          </w:p>
        </w:tc>
        <w:tc>
          <w:tcPr>
            <w:tcW w:w="121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ES:8.1</w:t>
            </w:r>
          </w:p>
        </w:tc>
        <w:tc>
          <w:tcPr>
            <w:tcW w:w="10004" w:type="dxa"/>
          </w:tcPr>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与</w:t>
            </w:r>
            <w:r>
              <w:rPr>
                <w:rFonts w:hint="default" w:ascii="宋体" w:hAnsi="宋体" w:cs="Arial"/>
                <w:spacing w:val="-6"/>
                <w:sz w:val="21"/>
                <w:szCs w:val="21"/>
                <w:highlight w:val="none"/>
                <w:lang w:val="en-US" w:eastAsia="zh-CN"/>
              </w:rPr>
              <w:t>环境、安全体系运行控制有关的文件</w:t>
            </w:r>
            <w:r>
              <w:rPr>
                <w:rFonts w:hint="eastAsia" w:ascii="宋体" w:hAnsi="宋体" w:cs="Arial"/>
                <w:spacing w:val="-6"/>
                <w:sz w:val="21"/>
                <w:szCs w:val="21"/>
                <w:highlight w:val="none"/>
                <w:lang w:val="en-US" w:eastAsia="zh-CN"/>
              </w:rPr>
              <w:t>策划有</w:t>
            </w:r>
            <w:r>
              <w:rPr>
                <w:rFonts w:hint="eastAsia" w:ascii="宋体" w:hAnsi="宋体" w:cs="Arial"/>
                <w:color w:val="auto"/>
                <w:spacing w:val="-6"/>
                <w:sz w:val="21"/>
                <w:szCs w:val="21"/>
                <w:highlight w:val="none"/>
                <w:lang w:val="en-US" w:eastAsia="zh-CN"/>
              </w:rPr>
              <w:t>运行控制程序、废弃物控制程序、噪声控制程序、消防控制程序、资源能源控制程序、应急预案等环境与职业健康安全控制程序</w:t>
            </w:r>
            <w:r>
              <w:rPr>
                <w:rFonts w:hint="eastAsia" w:ascii="宋体" w:hAnsi="宋体" w:cs="Arial"/>
                <w:spacing w:val="-6"/>
                <w:sz w:val="21"/>
                <w:szCs w:val="21"/>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default" w:ascii="宋体" w:hAnsi="宋体" w:eastAsia="宋体" w:cs="Arial"/>
                <w:spacing w:val="-6"/>
                <w:sz w:val="21"/>
                <w:szCs w:val="21"/>
                <w:highlight w:val="none"/>
                <w:lang w:val="en-US" w:eastAsia="zh-CN"/>
              </w:rPr>
            </w:pPr>
            <w:r>
              <w:rPr>
                <w:rFonts w:hint="default" w:ascii="宋体" w:hAnsi="宋体" w:eastAsia="宋体" w:cs="Arial"/>
                <w:spacing w:val="-6"/>
                <w:sz w:val="21"/>
                <w:szCs w:val="21"/>
                <w:highlight w:val="none"/>
                <w:lang w:val="en-US" w:eastAsia="zh-CN"/>
              </w:rPr>
              <w:t>按有关程序和要求通报供方和顾客，采用</w:t>
            </w:r>
            <w:r>
              <w:rPr>
                <w:rFonts w:hint="eastAsia" w:ascii="宋体" w:hAnsi="宋体" w:eastAsia="宋体" w:cs="Arial"/>
                <w:spacing w:val="-6"/>
                <w:sz w:val="21"/>
                <w:szCs w:val="21"/>
                <w:highlight w:val="none"/>
                <w:lang w:val="en-US" w:eastAsia="zh-CN"/>
              </w:rPr>
              <w:t>书面</w:t>
            </w:r>
            <w:r>
              <w:rPr>
                <w:rFonts w:hint="default" w:ascii="宋体" w:hAnsi="宋体" w:eastAsia="宋体" w:cs="Arial"/>
                <w:spacing w:val="-6"/>
                <w:sz w:val="21"/>
                <w:szCs w:val="21"/>
                <w:highlight w:val="none"/>
                <w:lang w:val="en-US" w:eastAsia="zh-CN"/>
              </w:rPr>
              <w:t>方式</w:t>
            </w:r>
            <w:r>
              <w:rPr>
                <w:rFonts w:hint="eastAsia" w:ascii="宋体" w:hAnsi="宋体" w:eastAsia="宋体" w:cs="Arial"/>
                <w:spacing w:val="-6"/>
                <w:sz w:val="21"/>
                <w:szCs w:val="21"/>
                <w:highlight w:val="none"/>
                <w:lang w:val="en-US" w:eastAsia="zh-CN"/>
              </w:rPr>
              <w:t>告知，查见“告各相关方的一封信”；</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现场观察：</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办公环境面积大约</w:t>
            </w:r>
            <w:r>
              <w:rPr>
                <w:rFonts w:hint="eastAsia" w:ascii="宋体" w:hAnsi="宋体" w:cs="Arial"/>
                <w:spacing w:val="-6"/>
                <w:sz w:val="21"/>
                <w:szCs w:val="21"/>
                <w:highlight w:val="none"/>
                <w:lang w:val="en-US" w:eastAsia="zh-CN"/>
              </w:rPr>
              <w:t>20</w:t>
            </w:r>
            <w:r>
              <w:rPr>
                <w:rFonts w:hint="eastAsia" w:ascii="宋体" w:hAnsi="宋体" w:eastAsia="宋体" w:cs="Arial"/>
                <w:spacing w:val="-6"/>
                <w:sz w:val="21"/>
                <w:szCs w:val="21"/>
                <w:highlight w:val="none"/>
                <w:lang w:val="en-US" w:eastAsia="zh-CN"/>
              </w:rPr>
              <w:t>00平方米，工作场所布局合理，座椅和办公桌符合人体工程学要求，员工有自我防护意识，工间能适当走动、休息；各研发技术人员坐姿正确，避免过度疲劳；电脑显示器调整到保护视力的颜色；配置有适量的绿植，办公环境光照、温度适宜，通风良好，办公场所物品摆放整齐、有序，未见随意乱放私人物品的情况；满足办公需求。</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办公区域配备了</w:t>
            </w:r>
            <w:r>
              <w:rPr>
                <w:rFonts w:hint="eastAsia" w:ascii="宋体" w:hAnsi="宋体" w:cs="Arial"/>
                <w:spacing w:val="-6"/>
                <w:sz w:val="21"/>
                <w:szCs w:val="21"/>
                <w:highlight w:val="none"/>
                <w:lang w:val="en-US" w:eastAsia="zh-CN"/>
              </w:rPr>
              <w:t>消防设施</w:t>
            </w:r>
            <w:r>
              <w:rPr>
                <w:rFonts w:hint="eastAsia" w:ascii="宋体" w:hAnsi="宋体" w:eastAsia="宋体" w:cs="Arial"/>
                <w:spacing w:val="-6"/>
                <w:sz w:val="21"/>
                <w:szCs w:val="21"/>
                <w:highlight w:val="none"/>
                <w:lang w:val="en-US" w:eastAsia="zh-CN"/>
              </w:rPr>
              <w:t>，</w:t>
            </w:r>
            <w:r>
              <w:rPr>
                <w:rFonts w:hint="eastAsia" w:ascii="宋体" w:hAnsi="宋体" w:cs="Arial"/>
                <w:spacing w:val="-6"/>
                <w:sz w:val="21"/>
                <w:szCs w:val="21"/>
                <w:highlight w:val="none"/>
                <w:lang w:val="en-US" w:eastAsia="zh-CN"/>
              </w:rPr>
              <w:t>介绍说消防控制系统由物业公司统一管理</w:t>
            </w:r>
            <w:r>
              <w:rPr>
                <w:rFonts w:hint="eastAsia" w:ascii="宋体" w:hAnsi="宋体" w:eastAsia="宋体" w:cs="Arial"/>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ascii="Times New Roman" w:hAnsi="Times New Roman" w:eastAsia="宋体" w:cs="Times New Roman"/>
                <w:szCs w:val="22"/>
                <w:highlight w:val="none"/>
                <w:lang w:val="en-US" w:eastAsia="zh-CN"/>
              </w:rPr>
              <w:t>员工关系和谐，墙面张贴有文化宣传活动的资料，与</w:t>
            </w:r>
            <w:r>
              <w:rPr>
                <w:rFonts w:hint="eastAsia" w:cs="Times New Roman"/>
                <w:szCs w:val="22"/>
                <w:highlight w:val="none"/>
                <w:lang w:val="en-US" w:eastAsia="zh-CN"/>
              </w:rPr>
              <w:t>工作</w:t>
            </w:r>
            <w:r>
              <w:rPr>
                <w:rFonts w:hint="eastAsia" w:ascii="Times New Roman" w:hAnsi="Times New Roman" w:eastAsia="宋体" w:cs="Times New Roman"/>
                <w:szCs w:val="22"/>
                <w:highlight w:val="none"/>
                <w:lang w:val="en-US" w:eastAsia="zh-CN"/>
              </w:rPr>
              <w:t>人员交流时，情绪愉快。</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配置有垃圾桶，办公过程产生的垃圾统一收集，由市政环卫部门统一处理；</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default"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介绍说办公用废弃硒鼓由供应商回收，以旧换新；</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办公室无明显噪声和异味，无废气排放；</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节约用水用电、生活废水经市政管网排放。</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spacing w:val="-6"/>
                <w:sz w:val="21"/>
                <w:szCs w:val="21"/>
                <w:highlight w:val="none"/>
                <w:lang w:val="en-US" w:eastAsia="zh-CN"/>
              </w:rPr>
            </w:pPr>
            <w:r>
              <w:rPr>
                <w:rFonts w:hint="eastAsia" w:ascii="宋体" w:hAnsi="宋体" w:eastAsia="宋体" w:cs="Arial"/>
                <w:spacing w:val="-6"/>
                <w:sz w:val="21"/>
                <w:szCs w:val="21"/>
                <w:highlight w:val="none"/>
                <w:lang w:val="en-US" w:eastAsia="zh-CN"/>
              </w:rPr>
              <w:t>纸张双面使用；</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eastAsia="宋体"/>
                <w:highlight w:val="none"/>
                <w:lang w:val="en-US" w:eastAsia="zh-CN"/>
              </w:rPr>
            </w:pPr>
            <w:r>
              <w:rPr>
                <w:rFonts w:hint="eastAsia" w:ascii="宋体" w:hAnsi="宋体" w:eastAsia="宋体" w:cs="Arial"/>
                <w:spacing w:val="-6"/>
                <w:sz w:val="21"/>
                <w:szCs w:val="21"/>
                <w:highlight w:val="none"/>
                <w:lang w:val="en-US" w:eastAsia="zh-CN"/>
              </w:rPr>
              <w:t>办公室内主要是电的使用，现场查看电路、电源正常，电路布线合理、电气插座完整，未见破损，无乱拉乱接电线、使用超额电气等现象；未见用电不当等安全隐患及不良影响现象。</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rPr>
              <w:t>应急准备和响应</w:t>
            </w:r>
          </w:p>
        </w:tc>
        <w:tc>
          <w:tcPr>
            <w:tcW w:w="121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spacing w:val="-6"/>
                <w:kern w:val="2"/>
                <w:sz w:val="21"/>
                <w:szCs w:val="21"/>
                <w:lang w:val="en-US" w:eastAsia="zh-CN" w:bidi="ar-SA"/>
              </w:rPr>
            </w:pPr>
            <w:r>
              <w:rPr>
                <w:rFonts w:hint="eastAsia" w:ascii="宋体" w:hAnsi="宋体" w:cs="Arial"/>
                <w:spacing w:val="-6"/>
                <w:sz w:val="21"/>
                <w:szCs w:val="21"/>
                <w:lang w:val="en-US" w:eastAsia="zh-CN"/>
              </w:rPr>
              <w:t>ES:</w:t>
            </w:r>
            <w:r>
              <w:rPr>
                <w:rFonts w:hint="eastAsia" w:ascii="宋体" w:hAnsi="宋体" w:cs="Arial"/>
                <w:spacing w:val="-6"/>
                <w:sz w:val="21"/>
                <w:szCs w:val="21"/>
              </w:rPr>
              <w:t>8.2</w:t>
            </w:r>
          </w:p>
        </w:tc>
        <w:tc>
          <w:tcPr>
            <w:tcW w:w="10004" w:type="dxa"/>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highlight w:val="none"/>
                <w:lang w:val="en-US" w:eastAsia="zh-CN"/>
              </w:rPr>
            </w:pPr>
            <w:r>
              <w:rPr>
                <w:rFonts w:hint="eastAsia"/>
                <w:highlight w:val="none"/>
                <w:lang w:val="en-US" w:eastAsia="zh-CN"/>
              </w:rPr>
              <w:t>参与综合部组织的应急演练，详见综合部审核记录。</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904"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生产和服务提供的控制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放行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spacing w:val="-6"/>
                <w:sz w:val="21"/>
                <w:szCs w:val="21"/>
              </w:rPr>
            </w:pPr>
            <w:r>
              <w:rPr>
                <w:rFonts w:hint="eastAsia" w:ascii="宋体" w:hAnsi="宋体" w:eastAsia="宋体" w:cs="Arial"/>
                <w:color w:val="auto"/>
                <w:spacing w:val="-6"/>
                <w:sz w:val="21"/>
                <w:szCs w:val="21"/>
                <w:lang w:val="en-US" w:eastAsia="zh-CN"/>
              </w:rPr>
              <w:t>不合格品控制</w:t>
            </w:r>
          </w:p>
        </w:tc>
        <w:tc>
          <w:tcPr>
            <w:tcW w:w="121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Q:8.5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8.6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Arial"/>
                <w:color w:val="auto"/>
                <w:spacing w:val="-6"/>
                <w:sz w:val="21"/>
                <w:szCs w:val="21"/>
                <w:lang w:val="en-US" w:eastAsia="zh-CN"/>
              </w:rPr>
            </w:pPr>
            <w:r>
              <w:rPr>
                <w:rFonts w:hint="eastAsia" w:ascii="宋体" w:hAnsi="宋体" w:eastAsia="宋体" w:cs="Arial"/>
                <w:spacing w:val="-6"/>
                <w:sz w:val="21"/>
                <w:szCs w:val="21"/>
                <w:lang w:val="en-US" w:eastAsia="zh-CN"/>
              </w:rPr>
              <w:t>8.7</w:t>
            </w:r>
          </w:p>
        </w:tc>
        <w:tc>
          <w:tcPr>
            <w:tcW w:w="10004" w:type="dxa"/>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策划了发行操作流程，明确了到货设备到验、抽样检测操作流程，设备发行授权及映射表导入流程、卡签综合一次发行系统发行操作流程等；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介绍说，本部门主要负责ETC设备的一次发行，流程包括：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lang w:val="en-US" w:eastAsia="zh-CN"/>
              </w:rPr>
            </w:pPr>
            <w:r>
              <w:rPr>
                <w:rFonts w:hint="eastAsia"/>
                <w:highlight w:val="none"/>
                <w:lang w:val="en-US" w:eastAsia="zh-CN"/>
              </w:rPr>
              <w:t>产品验收——设备发行授权及映射表导入——数据写入——测试放行；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收集了相关技术标准或准则：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电子收费 专用短信通信第1部分：物理层 GB/T20851.1-2019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电子收费 专用短信通信第2部分：数据链接路层 GB/T20851.2-2019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电子收费 专用短信通信第3部分：应用层 GB/T20851.3-2019；</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介绍说，一次发行主要是对厂家提供的卡片和电子标签写入系统信息和系统密钥，完成后交由发行银行进行发行；</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查见：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数据写入——</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介绍说，IC卡和OBU电子标签通过桌面发行器在“卡签综合一次发行系统”中对电子标签进行一次初始化发行，批量写入密钥；序列号通过电子邮件传送，密钥通过密封函件传递；过程记录在系统中自动备份；</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介绍说，数据写入是涉密过程，不能提供记录。</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介绍说，每张卡片都有唯一序号作为标识；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顾客财产：公司的顾客财产为银行购买、供应商提供的IC卡和OBU电子标签，专门存放；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产品原厂包装，不需要特别的防护；写入数据时配置防干扰屏蔽罩，防止写数据时的干扰。</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一次发行成功后的卡片和电子标签装回原厂包装，由供应商交付给银行；</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放行：</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产品验收——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介绍说，公司主要是对供应商提供的赣通卡和OBU电子标签的数量、外观和相关信息进行验收；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查见赣通卡和OBU发行、出入库表——2021.1-6，记录了供货单位、设备厂家、设备型号、设备入库类型、单位、数量、序列号、出库日期等；</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查见“赣通卡”到货验收记录，每批次随机抽样3张进行水煮试验，结果均正常。</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过程检验——</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介绍说密钥写入后，按照千分之一的比例进行抽样；通过发行器对写入结果进行检测，检测无误则一次发行成功，如有误，则重新抽样，发行不成功的卡片和电子标签交回供应商销毁，序列号作废；</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提供“赣通卡和OBU抽检、损坏登记表”——2021.1-6，记录了抽样标签的供货单位、设备厂家、数量、序列号、抽检数量、序列号等；</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成品检验——</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一次发行成功后，对抽样标签在“ETC江西省赣通卡客服服务系统”中写测试数据，点击车辆管理下的测试设备发行，在测试设备发行页面点击连接桌发，桌发连接成功后点击读OBU再点击写OBU，显示OBU发行成功。</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介绍说，数据写入过程会对写入结果进行测试，保留测试记录；</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查见“电子标签检测记录”，2021.1-6，记录一次发行、二次发行、手持机激活、软件版本、硬件版本、交易测试等测试结果；多数结果正常，其中：</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eastAsia"/>
                <w:highlight w:val="none"/>
                <w:lang w:val="en-US" w:eastAsia="zh-CN"/>
              </w:rPr>
            </w:pPr>
            <w:r>
              <w:rPr>
                <w:rFonts w:hint="eastAsia"/>
                <w:highlight w:val="none"/>
                <w:lang w:val="en-US" w:eastAsia="zh-CN"/>
              </w:rPr>
              <w:t>2021.6.3-8，标签号3601、1910、4607、6406，续卡失败，验收不合格；重新抽样检测，结果正常。</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highlight w:val="none"/>
                <w:lang w:val="en-US" w:eastAsia="zh-CN"/>
              </w:rPr>
            </w:pPr>
            <w:r>
              <w:rPr>
                <w:rFonts w:hint="eastAsia"/>
                <w:highlight w:val="none"/>
                <w:lang w:val="en-US" w:eastAsia="zh-CN"/>
              </w:rPr>
              <w:t>介绍说，不合格标签退回供应商。</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Y</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746D2"/>
    <w:rsid w:val="3DC771BF"/>
    <w:rsid w:val="48063D32"/>
    <w:rsid w:val="5B7E2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2021-07-10T08:53:34Z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