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4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spacing w:before="12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过程与活动、</w:t>
            </w:r>
          </w:p>
          <w:p>
            <w:pPr>
              <w:spacing w:line="360" w:lineRule="auto"/>
              <w:jc w:val="center"/>
              <w:rPr>
                <w:rFonts w:hint="default" w:ascii="Times New Roman" w:hAnsi="Times New Roman" w:cs="Times New Roman"/>
              </w:rPr>
            </w:pPr>
            <w:r>
              <w:rPr>
                <w:rFonts w:hint="default" w:ascii="Times New Roman" w:hAnsi="Times New Roman" w:cs="Times New Roman"/>
                <w:sz w:val="24"/>
                <w:szCs w:val="24"/>
              </w:rPr>
              <w:t>抽样计划</w:t>
            </w:r>
          </w:p>
        </w:tc>
        <w:tc>
          <w:tcPr>
            <w:tcW w:w="1140" w:type="dxa"/>
            <w:vMerge w:val="restart"/>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涉及</w:t>
            </w:r>
          </w:p>
          <w:p>
            <w:pPr>
              <w:spacing w:line="360" w:lineRule="auto"/>
              <w:rPr>
                <w:rFonts w:hint="default" w:ascii="Times New Roman" w:hAnsi="Times New Roman" w:cs="Times New Roman"/>
              </w:rPr>
            </w:pPr>
            <w:r>
              <w:rPr>
                <w:rFonts w:hint="default" w:ascii="Times New Roman" w:hAnsi="Times New Roman" w:cs="Times New Roman"/>
                <w:sz w:val="24"/>
                <w:szCs w:val="24"/>
              </w:rPr>
              <w:t>条款</w:t>
            </w:r>
          </w:p>
        </w:tc>
        <w:tc>
          <w:tcPr>
            <w:tcW w:w="10004" w:type="dxa"/>
            <w:vAlign w:val="center"/>
          </w:tcPr>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受审核部门：</w:t>
            </w:r>
            <w:r>
              <w:rPr>
                <w:rFonts w:hint="eastAsia" w:ascii="Times New Roman" w:hAnsi="Times New Roman" w:cs="Times New Roman"/>
                <w:sz w:val="24"/>
                <w:szCs w:val="24"/>
                <w:lang w:val="en-US" w:eastAsia="zh-CN"/>
              </w:rPr>
              <w:t>综合</w:t>
            </w:r>
            <w:r>
              <w:rPr>
                <w:rFonts w:hint="default" w:ascii="Times New Roman" w:hAnsi="Times New Roman" w:cs="Times New Roman"/>
                <w:sz w:val="24"/>
                <w:szCs w:val="24"/>
                <w:lang w:val="en-US" w:eastAsia="zh-CN"/>
              </w:rPr>
              <w:t xml:space="preserve">部             </w:t>
            </w:r>
            <w:r>
              <w:rPr>
                <w:rFonts w:hint="default" w:ascii="Times New Roman" w:hAnsi="Times New Roman" w:cs="Times New Roman"/>
                <w:sz w:val="24"/>
                <w:szCs w:val="24"/>
              </w:rPr>
              <w:t>主管领导：</w:t>
            </w:r>
            <w:r>
              <w:rPr>
                <w:rFonts w:hint="default" w:ascii="Times New Roman" w:hAnsi="Times New Roman" w:eastAsia="宋体" w:cs="Times New Roman"/>
                <w:sz w:val="24"/>
                <w:szCs w:val="22"/>
                <w:lang w:val="en-US" w:eastAsia="zh-CN"/>
              </w:rPr>
              <w:t>梅山林</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陪同人员：</w:t>
            </w:r>
            <w:r>
              <w:rPr>
                <w:rFonts w:hint="default" w:ascii="Times New Roman" w:hAnsi="Times New Roman" w:cs="Times New Roman"/>
                <w:sz w:val="24"/>
                <w:szCs w:val="24"/>
                <w:lang w:val="en-US" w:eastAsia="zh-CN"/>
              </w:rPr>
              <w:t>杨锴</w:t>
            </w:r>
          </w:p>
        </w:tc>
        <w:tc>
          <w:tcPr>
            <w:tcW w:w="1585" w:type="dxa"/>
            <w:vMerge w:val="restart"/>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pPr>
              <w:spacing w:line="360" w:lineRule="auto"/>
              <w:rPr>
                <w:rFonts w:hint="default" w:ascii="Times New Roman" w:hAnsi="Times New Roman" w:cs="Times New Roman"/>
              </w:rPr>
            </w:pPr>
          </w:p>
        </w:tc>
        <w:tc>
          <w:tcPr>
            <w:tcW w:w="1140" w:type="dxa"/>
            <w:vMerge w:val="continue"/>
            <w:vAlign w:val="center"/>
          </w:tcPr>
          <w:p>
            <w:pPr>
              <w:spacing w:line="360" w:lineRule="auto"/>
              <w:rPr>
                <w:rFonts w:hint="default" w:ascii="Times New Roman" w:hAnsi="Times New Roman" w:cs="Times New Roman"/>
              </w:rPr>
            </w:pPr>
          </w:p>
        </w:tc>
        <w:tc>
          <w:tcPr>
            <w:tcW w:w="10004" w:type="dxa"/>
            <w:vAlign w:val="center"/>
          </w:tcPr>
          <w:p>
            <w:pPr>
              <w:spacing w:before="120" w:line="360" w:lineRule="auto"/>
              <w:rPr>
                <w:rFonts w:hint="default" w:ascii="Times New Roman" w:hAnsi="Times New Roman" w:eastAsia="宋体" w:cs="Times New Roman"/>
                <w:lang w:val="en-US" w:eastAsia="zh-CN"/>
              </w:rPr>
            </w:pPr>
            <w:r>
              <w:rPr>
                <w:rFonts w:hint="default" w:ascii="Times New Roman" w:hAnsi="Times New Roman" w:cs="Times New Roman"/>
                <w:sz w:val="24"/>
                <w:szCs w:val="24"/>
              </w:rPr>
              <w:t>审核员：</w:t>
            </w:r>
            <w:r>
              <w:rPr>
                <w:rFonts w:hint="default" w:ascii="Times New Roman" w:hAnsi="Times New Roman" w:cs="Times New Roman"/>
                <w:sz w:val="24"/>
                <w:szCs w:val="24"/>
                <w:lang w:val="en-US" w:eastAsia="zh-CN"/>
              </w:rPr>
              <w:t xml:space="preserve">褚敏杰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陈浩   </w:t>
            </w:r>
            <w:bookmarkStart w:id="0" w:name="_GoBack"/>
            <w:bookmarkEnd w:id="0"/>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审核时间：</w:t>
            </w:r>
            <w:r>
              <w:rPr>
                <w:rFonts w:hint="default" w:ascii="Times New Roman" w:hAnsi="Times New Roman" w:cs="Times New Roman"/>
                <w:sz w:val="24"/>
                <w:szCs w:val="24"/>
                <w:lang w:val="en-US" w:eastAsia="zh-CN"/>
              </w:rPr>
              <w:t>2021.7.10</w:t>
            </w:r>
          </w:p>
        </w:tc>
        <w:tc>
          <w:tcPr>
            <w:tcW w:w="1585" w:type="dxa"/>
            <w:vMerge w:val="continue"/>
          </w:tcPr>
          <w:p>
            <w:pPr>
              <w:spacing w:line="360" w:lineRule="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pPr>
              <w:spacing w:line="360" w:lineRule="auto"/>
              <w:rPr>
                <w:rFonts w:hint="default" w:ascii="Times New Roman" w:hAnsi="Times New Roman" w:cs="Times New Roman"/>
              </w:rPr>
            </w:pPr>
          </w:p>
        </w:tc>
        <w:tc>
          <w:tcPr>
            <w:tcW w:w="1140" w:type="dxa"/>
            <w:vMerge w:val="continue"/>
            <w:vAlign w:val="center"/>
          </w:tcPr>
          <w:p>
            <w:pPr>
              <w:spacing w:line="360" w:lineRule="auto"/>
              <w:rPr>
                <w:rFonts w:hint="default" w:ascii="Times New Roman" w:hAnsi="Times New Roman" w:cs="Times New Roman"/>
              </w:rPr>
            </w:pPr>
          </w:p>
        </w:tc>
        <w:tc>
          <w:tcPr>
            <w:tcW w:w="10004" w:type="dxa"/>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审核条款：</w:t>
            </w:r>
          </w:p>
          <w:p>
            <w:pPr>
              <w:pStyle w:val="2"/>
              <w:keepNext w:val="0"/>
              <w:keepLines w:val="0"/>
              <w:pageBreakBefore w:val="0"/>
              <w:widowControl w:val="0"/>
              <w:kinsoku/>
              <w:wordWrap/>
              <w:overflowPunct/>
              <w:topLinePunct w:val="0"/>
              <w:autoSpaceDE/>
              <w:autoSpaceDN/>
              <w:bidi w:val="0"/>
              <w:adjustRightInd/>
              <w:spacing w:after="0" w:afterLines="0" w:line="240" w:lineRule="auto"/>
              <w:ind w:left="0" w:leftChars="0" w:firstLine="0" w:firstLineChars="0"/>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QMS：5.3组织的岗位、职责和权限、6.2质量目标、7.1.2人员、</w:t>
            </w:r>
            <w:r>
              <w:rPr>
                <w:rFonts w:hint="default" w:ascii="Times New Roman" w:hAnsi="Times New Roman" w:eastAsia="宋体" w:cs="Times New Roman"/>
                <w:spacing w:val="-6"/>
                <w:sz w:val="21"/>
                <w:szCs w:val="21"/>
                <w:shd w:val="clear"/>
                <w:lang w:val="en-US" w:eastAsia="zh-CN"/>
              </w:rPr>
              <w:t>7.1.3基础设施、7.1.4过程运行环境、7.1.6组织知识、</w:t>
            </w:r>
            <w:r>
              <w:rPr>
                <w:rFonts w:hint="default" w:ascii="Times New Roman" w:hAnsi="Times New Roman" w:eastAsia="宋体" w:cs="Times New Roman"/>
                <w:spacing w:val="-6"/>
                <w:sz w:val="21"/>
                <w:szCs w:val="21"/>
                <w:lang w:val="en-US" w:eastAsia="zh-CN"/>
              </w:rPr>
              <w:t>7.2能力、7.3意识、7.5形成文件的信息、</w:t>
            </w:r>
            <w:r>
              <w:rPr>
                <w:rFonts w:hint="eastAsia" w:ascii="Times New Roman" w:hAnsi="Times New Roman" w:cs="Times New Roman"/>
                <w:spacing w:val="-6"/>
                <w:sz w:val="21"/>
                <w:szCs w:val="21"/>
                <w:lang w:val="en-US" w:eastAsia="zh-CN"/>
              </w:rPr>
              <w:t xml:space="preserve"> </w:t>
            </w:r>
            <w:r>
              <w:rPr>
                <w:rFonts w:hint="default" w:ascii="Times New Roman" w:hAnsi="Times New Roman" w:eastAsia="宋体" w:cs="Times New Roman"/>
                <w:spacing w:val="-6"/>
                <w:sz w:val="21"/>
                <w:szCs w:val="21"/>
                <w:lang w:val="en-US" w:eastAsia="zh-CN"/>
              </w:rPr>
              <w:t>8.4外部提供过程、产品和服</w:t>
            </w:r>
            <w:r>
              <w:rPr>
                <w:rFonts w:hint="default" w:ascii="Times New Roman" w:hAnsi="Times New Roman" w:eastAsia="宋体" w:cs="Times New Roman"/>
                <w:color w:val="auto"/>
                <w:spacing w:val="-6"/>
                <w:sz w:val="21"/>
                <w:szCs w:val="21"/>
                <w:lang w:val="en-US" w:eastAsia="zh-CN"/>
              </w:rPr>
              <w:t>务的控制</w:t>
            </w:r>
            <w:r>
              <w:rPr>
                <w:rFonts w:hint="default" w:ascii="Times New Roman" w:hAnsi="Times New Roman" w:cs="Times New Roman"/>
                <w:color w:val="auto"/>
                <w:spacing w:val="-6"/>
                <w:sz w:val="21"/>
                <w:szCs w:val="21"/>
                <w:lang w:val="en-US" w:eastAsia="zh-CN"/>
              </w:rPr>
              <w:t>、</w:t>
            </w:r>
            <w:r>
              <w:rPr>
                <w:rFonts w:hint="default" w:ascii="Times New Roman" w:hAnsi="Times New Roman" w:eastAsia="宋体" w:cs="Times New Roman"/>
                <w:spacing w:val="-6"/>
                <w:sz w:val="21"/>
                <w:szCs w:val="21"/>
                <w:lang w:val="en-US" w:eastAsia="zh-CN"/>
              </w:rPr>
              <w:t>9.1.1监视、测量、分析和评价总则、9.1.3分析与评价、9.2内部审核、10.2不合格和纠正措施；</w:t>
            </w:r>
          </w:p>
          <w:p>
            <w:pPr>
              <w:spacing w:line="240" w:lineRule="auto"/>
              <w:rPr>
                <w:rFonts w:hint="default" w:ascii="Times New Roman" w:hAnsi="Times New Roman" w:cs="Times New Roman"/>
                <w:sz w:val="24"/>
                <w:szCs w:val="24"/>
              </w:rPr>
            </w:pPr>
            <w:r>
              <w:rPr>
                <w:rFonts w:hint="default" w:ascii="Times New Roman" w:hAnsi="Times New Roman" w:eastAsia="宋体" w:cs="Times New Roman"/>
                <w:spacing w:val="-6"/>
                <w:sz w:val="21"/>
                <w:szCs w:val="21"/>
                <w:lang w:val="en-US" w:eastAsia="zh-CN"/>
              </w:rPr>
              <w:t>EMS/OHSMS：5.3组织的岗位、职责和权限、6.1.2环境因素/危险源辨识与评价识别与评价、6.1.4控制措施的策划、6.2环境/职业健康安全目标及实现目标措施的策划、6.1.3合规义务、9.1.2合规性评价、7.1资源、7.2能力、7.3意识、7.5形成文件的信息、</w:t>
            </w:r>
            <w:r>
              <w:rPr>
                <w:rFonts w:hint="default" w:ascii="Times New Roman" w:hAnsi="Times New Roman" w:cs="Times New Roman" w:eastAsiaTheme="minorEastAsia"/>
                <w:sz w:val="21"/>
                <w:szCs w:val="21"/>
              </w:rPr>
              <w:t>8.1运行策划和控制</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8.2应急准备和响应、</w:t>
            </w:r>
            <w:r>
              <w:rPr>
                <w:rFonts w:hint="default" w:ascii="Times New Roman" w:hAnsi="Times New Roman" w:eastAsia="宋体" w:cs="Times New Roman"/>
                <w:spacing w:val="-6"/>
                <w:sz w:val="21"/>
                <w:szCs w:val="21"/>
                <w:lang w:val="en-US" w:eastAsia="zh-CN"/>
              </w:rPr>
              <w:t>9.1.1监视、测量、分析和评价总则、9.2内部审核、10.2不符合/事件和纠正措施</w:t>
            </w:r>
          </w:p>
        </w:tc>
        <w:tc>
          <w:tcPr>
            <w:tcW w:w="1585" w:type="dxa"/>
            <w:vMerge w:val="continue"/>
          </w:tcPr>
          <w:p>
            <w:pPr>
              <w:spacing w:line="360" w:lineRule="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rPr>
              <w:t>岗位、职责和权限</w:t>
            </w:r>
          </w:p>
        </w:tc>
        <w:tc>
          <w:tcPr>
            <w:tcW w:w="1140"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highlight w:val="none"/>
                <w:lang w:val="en-US" w:eastAsia="zh-CN"/>
              </w:rPr>
            </w:pPr>
            <w:r>
              <w:rPr>
                <w:rFonts w:hint="eastAsia" w:ascii="Times New Roman" w:hAnsi="Times New Roman" w:cs="Times New Roman"/>
                <w:i w:val="0"/>
                <w:iCs w:val="0"/>
                <w:color w:val="auto"/>
                <w:highlight w:val="none"/>
                <w:lang w:val="en-US" w:eastAsia="zh-CN"/>
              </w:rPr>
              <w:t>综合</w:t>
            </w:r>
            <w:r>
              <w:rPr>
                <w:rFonts w:hint="default" w:ascii="Times New Roman" w:hAnsi="Times New Roman" w:cs="Times New Roman"/>
                <w:i w:val="0"/>
                <w:iCs w:val="0"/>
                <w:color w:val="auto"/>
                <w:highlight w:val="none"/>
                <w:lang w:val="en-US" w:eastAsia="zh-CN"/>
              </w:rPr>
              <w:t>部现有</w:t>
            </w:r>
            <w:r>
              <w:rPr>
                <w:rFonts w:hint="eastAsia" w:ascii="Times New Roman" w:hAnsi="Times New Roman" w:cs="Times New Roman"/>
                <w:i w:val="0"/>
                <w:iCs w:val="0"/>
                <w:color w:val="auto"/>
                <w:highlight w:val="none"/>
                <w:lang w:val="en-US" w:eastAsia="zh-CN"/>
              </w:rPr>
              <w:t>9</w:t>
            </w:r>
            <w:r>
              <w:rPr>
                <w:rFonts w:hint="default" w:ascii="Times New Roman" w:hAnsi="Times New Roman" w:cs="Times New Roman"/>
                <w:i w:val="0"/>
                <w:iCs w:val="0"/>
                <w:color w:val="auto"/>
                <w:highlight w:val="none"/>
                <w:lang w:val="en-US" w:eastAsia="zh-CN"/>
              </w:rPr>
              <w:t>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主要负责行政管理和人力资源管理；保证物料供应；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环境因素、危险源的识别、评价及控制以及应急管理；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FF0000"/>
                <w:kern w:val="2"/>
                <w:sz w:val="21"/>
                <w:lang w:val="en-US" w:eastAsia="zh-CN" w:bidi="ar-SA"/>
              </w:rPr>
            </w:pPr>
            <w:r>
              <w:rPr>
                <w:rFonts w:hint="default" w:ascii="Times New Roman" w:hAnsi="Times New Roman" w:cs="Times New Roman"/>
                <w:color w:val="auto"/>
                <w:lang w:val="en-US" w:eastAsia="zh-CN"/>
              </w:rPr>
              <w:t>协助做好管理评审工作、组织开展内部审核。</w:t>
            </w:r>
          </w:p>
        </w:tc>
        <w:tc>
          <w:tcPr>
            <w:tcW w:w="1585" w:type="dxa"/>
            <w:vAlign w:val="center"/>
          </w:tcPr>
          <w:p>
            <w:pPr>
              <w:spacing w:line="360" w:lineRule="auto"/>
              <w:jc w:val="center"/>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980"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目标</w:t>
            </w:r>
          </w:p>
        </w:tc>
        <w:tc>
          <w:tcPr>
            <w:tcW w:w="1140"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lang w:val="en-US" w:eastAsia="zh-CN"/>
              </w:rPr>
              <w:t>查见“目标分解考核表”，显示对目标进行了分解；</w:t>
            </w:r>
            <w:r>
              <w:rPr>
                <w:rFonts w:hint="default" w:ascii="Times New Roman" w:hAnsi="Times New Roman" w:cs="Times New Roman"/>
                <w:color w:val="auto"/>
                <w:highlight w:val="none"/>
                <w:lang w:val="en-US" w:eastAsia="zh-CN"/>
              </w:rPr>
              <w:t>见</w:t>
            </w:r>
            <w:r>
              <w:rPr>
                <w:rFonts w:hint="eastAsia" w:ascii="Times New Roman" w:hAnsi="Times New Roman" w:cs="Times New Roman"/>
                <w:color w:val="auto"/>
                <w:highlight w:val="none"/>
                <w:lang w:val="en-US" w:eastAsia="zh-CN"/>
              </w:rPr>
              <w:t>综合</w:t>
            </w:r>
            <w:r>
              <w:rPr>
                <w:rFonts w:hint="default" w:ascii="Times New Roman" w:hAnsi="Times New Roman" w:cs="Times New Roman"/>
                <w:color w:val="auto"/>
                <w:highlight w:val="none"/>
                <w:lang w:val="en-US" w:eastAsia="zh-CN"/>
              </w:rPr>
              <w:t>部的目标：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eastAsia"/>
                <w:sz w:val="21"/>
                <w:szCs w:val="21"/>
              </w:rPr>
              <w:t>文件受控率达</w:t>
            </w:r>
            <w:r>
              <w:rPr>
                <w:rFonts w:hint="default" w:ascii="Times New Roman" w:hAnsi="Times New Roman" w:cs="Times New Roman"/>
                <w:color w:val="auto"/>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培训合格率达100% </w:t>
            </w:r>
          </w:p>
          <w:p>
            <w:pPr>
              <w:bidi w:val="0"/>
              <w:spacing w:line="360" w:lineRule="auto"/>
              <w:ind w:firstLine="420" w:firstLineChars="200"/>
              <w:rPr>
                <w:rFonts w:hint="default" w:ascii="Times New Roman" w:hAnsi="Times New Roman" w:cs="Times New Roman"/>
                <w:color w:val="auto"/>
                <w:highlight w:val="none"/>
                <w:lang w:val="en-US" w:eastAsia="zh-CN"/>
              </w:rPr>
            </w:pPr>
            <w:r>
              <w:rPr>
                <w:rFonts w:hint="eastAsia" w:ascii="宋体" w:hAnsi="宋体"/>
                <w:color w:val="000000"/>
                <w:sz w:val="21"/>
                <w:szCs w:val="21"/>
              </w:rPr>
              <w:t>供方评定合格率</w:t>
            </w:r>
            <w:r>
              <w:rPr>
                <w:rFonts w:hint="default" w:ascii="Times New Roman" w:hAnsi="Times New Roman" w:cs="Times New Roman"/>
                <w:color w:val="auto"/>
                <w:highlight w:val="none"/>
                <w:lang w:val="en-US" w:eastAsia="zh-CN"/>
              </w:rPr>
              <w:t>100%</w:t>
            </w:r>
          </w:p>
          <w:p>
            <w:pPr>
              <w:bidi w:val="0"/>
              <w:spacing w:line="360" w:lineRule="auto"/>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固废分类处置率100%；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查见“目标与管理方案及实施情况一览表”，对指标、措施、时间要求、责任部门、责任人进行了明确；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考核目标均已全部完成；</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FF0000"/>
                <w:lang w:val="en-US" w:eastAsia="zh-CN"/>
              </w:rPr>
            </w:pPr>
            <w:r>
              <w:rPr>
                <w:rFonts w:hint="default" w:ascii="Times New Roman" w:hAnsi="Times New Roman" w:cs="Times New Roman"/>
                <w:color w:val="auto"/>
                <w:highlight w:val="none"/>
                <w:lang w:val="en-US" w:eastAsia="zh-CN"/>
              </w:rPr>
              <w:t>基本符合。</w:t>
            </w:r>
          </w:p>
        </w:tc>
        <w:tc>
          <w:tcPr>
            <w:tcW w:w="1585" w:type="dxa"/>
            <w:vAlign w:val="center"/>
          </w:tcPr>
          <w:p>
            <w:pPr>
              <w:spacing w:line="360" w:lineRule="auto"/>
              <w:jc w:val="center"/>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环境因素/危险源的识别与评价</w:t>
            </w:r>
          </w:p>
          <w:p>
            <w:pPr>
              <w:spacing w:line="360" w:lineRule="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措施的策划</w:t>
            </w:r>
          </w:p>
        </w:tc>
        <w:tc>
          <w:tcPr>
            <w:tcW w:w="1140" w:type="dxa"/>
            <w:vAlign w:val="top"/>
          </w:tcPr>
          <w:p>
            <w:pPr>
              <w:spacing w:line="360" w:lineRule="auto"/>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EO:6.1.2</w:t>
            </w:r>
          </w:p>
          <w:p>
            <w:pPr>
              <w:spacing w:line="360" w:lineRule="auto"/>
              <w:jc w:val="center"/>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查见“环境因素辨识和评价表”，对设计开发、办公、生活场所等进行辨识和评价。见有辨识生活垃圾的处置不当、废纸随意丢弃、废电池随意丢弃、纸张使用、能源消耗、废弃的日光灯管、火灾、消防等；基本合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打分法评价，查见“重要环境因素清单”，明确了固废和潜在火灾两项环境因素为重要环境因素。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部门通过制定目标、管理方案、应急预案、日常检查与控制等方法，对环境因素进行控制。针对重要环境因素，制定有“环境管理目标、指标及其管理方案一览表”，明确了指标、方法、措施/技术手段、责任部门、检查部门、日常运行控制部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查见公司统一编制“职业安全健康管理体系危险源辨识、风险评价、风险控制一览表”，辨识的危险源包括计算机运行、办公活动、系统开发、采购、运输等过程中的触电、火灾、摔伤、交通事故造成的人身伤害等18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lang w:val="en-US" w:eastAsia="zh-CN"/>
              </w:rPr>
            </w:pPr>
            <w:r>
              <w:rPr>
                <w:rFonts w:hint="default" w:ascii="Times New Roman" w:hAnsi="Times New Roman" w:cs="Times New Roman"/>
                <w:color w:val="auto"/>
                <w:szCs w:val="22"/>
                <w:lang w:val="en-US" w:eastAsia="zh-CN"/>
              </w:rPr>
              <w:t>作业条件危险性评价法</w:t>
            </w:r>
            <w:r>
              <w:rPr>
                <w:rFonts w:hint="eastAsia" w:ascii="Times New Roman" w:hAnsi="Times New Roman" w:cs="Times New Roman"/>
                <w:color w:val="auto"/>
                <w:szCs w:val="22"/>
                <w:lang w:val="en-US" w:eastAsia="zh-CN"/>
              </w:rPr>
              <w:t>评价，触电和潜在火灾2项为不可接受风险；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查见“重大危险源清单”，明确了触电和潜在火灾为重大危险源；针对重大危险源制订了“职业健康安全管理目标及方案”，明确了技术措施、经费预算、时间、责任部门、验证部门等。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ascii="Times New Roman" w:hAnsi="Times New Roman" w:cs="Times New Roman"/>
                <w:color w:val="auto"/>
                <w:szCs w:val="22"/>
                <w:lang w:val="en-US" w:eastAsia="zh-CN"/>
              </w:rPr>
              <w:t>公司通过制定目标、管理方案、应急预案、日常检查与控制等方法进行控制。</w:t>
            </w:r>
          </w:p>
        </w:tc>
        <w:tc>
          <w:tcPr>
            <w:tcW w:w="1585" w:type="dxa"/>
            <w:vAlign w:val="center"/>
          </w:tcPr>
          <w:p>
            <w:pPr>
              <w:spacing w:line="360" w:lineRule="auto"/>
              <w:jc w:val="center"/>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人员</w:t>
            </w:r>
          </w:p>
          <w:p>
            <w:pPr>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能力</w:t>
            </w:r>
          </w:p>
          <w:p>
            <w:pPr>
              <w:spacing w:line="360" w:lineRule="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意识</w:t>
            </w:r>
          </w:p>
        </w:tc>
        <w:tc>
          <w:tcPr>
            <w:tcW w:w="1140" w:type="dxa"/>
            <w:vAlign w:val="top"/>
          </w:tcPr>
          <w:p>
            <w:pPr>
              <w:spacing w:line="360" w:lineRule="auto"/>
              <w:jc w:val="center"/>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Q:7.1.2</w:t>
            </w:r>
          </w:p>
          <w:p>
            <w:pPr>
              <w:spacing w:line="360" w:lineRule="auto"/>
              <w:jc w:val="center"/>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QEO:7.2</w:t>
            </w:r>
          </w:p>
          <w:p>
            <w:pPr>
              <w:spacing w:line="360" w:lineRule="auto"/>
              <w:jc w:val="center"/>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7.3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建立有《人力资源控制程序》，有效文件；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公司现有人员</w:t>
            </w:r>
            <w:r>
              <w:rPr>
                <w:rFonts w:hint="eastAsia" w:ascii="Times New Roman" w:hAnsi="Times New Roman" w:cs="Times New Roman"/>
                <w:b/>
                <w:highlight w:val="none"/>
                <w:lang w:val="en-US" w:eastAsia="zh-CN"/>
              </w:rPr>
              <w:t>76</w:t>
            </w:r>
            <w:r>
              <w:rPr>
                <w:rFonts w:hint="default" w:ascii="Times New Roman" w:hAnsi="Times New Roman" w:cs="Times New Roman"/>
                <w:color w:val="auto"/>
                <w:highlight w:val="none"/>
                <w:lang w:val="en-US" w:eastAsia="zh-CN"/>
              </w:rPr>
              <w:t>人，</w:t>
            </w:r>
            <w:r>
              <w:rPr>
                <w:rFonts w:hint="default" w:ascii="Times New Roman" w:hAnsi="Times New Roman" w:cs="Times New Roman"/>
                <w:szCs w:val="22"/>
                <w:highlight w:val="none"/>
                <w:lang w:val="en-US" w:eastAsia="zh-CN"/>
              </w:rPr>
              <w:t>特种作业人员持证上岗</w:t>
            </w:r>
            <w:r>
              <w:rPr>
                <w:rFonts w:hint="default" w:ascii="Times New Roman" w:hAnsi="Times New Roman" w:cs="Times New Roman"/>
                <w:szCs w:val="22"/>
                <w:highlight w:val="none"/>
                <w:lang w:val="zh-CN"/>
              </w:rPr>
              <w:t>；</w:t>
            </w:r>
            <w:r>
              <w:rPr>
                <w:rFonts w:hint="default" w:ascii="Times New Roman" w:hAnsi="Times New Roman" w:cs="Times New Roman"/>
                <w:color w:val="auto"/>
                <w:spacing w:val="-6"/>
                <w:sz w:val="21"/>
                <w:szCs w:val="21"/>
                <w:highlight w:val="none"/>
                <w:lang w:val="en-US" w:eastAsia="zh-CN"/>
              </w:rPr>
              <w:t>管理人员、技术人员能</w:t>
            </w:r>
            <w:r>
              <w:rPr>
                <w:rFonts w:hint="default" w:ascii="Times New Roman" w:hAnsi="Times New Roman" w:cs="Times New Roman"/>
                <w:color w:val="auto"/>
                <w:highlight w:val="none"/>
                <w:lang w:val="en-US" w:eastAsia="zh-CN"/>
              </w:rPr>
              <w:t>够有效实施管理体系，并运行和控制其过程。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保持“岗位说明书”，对各岗位的任职要求和能力要求进行了规定；职责中都包含了安全管理的要求；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查见“培训计划”，计划2021年开展管理体系内审员培训、环境、安全法律法规的培训、岗位技能培训、生产操作规程等</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项次；</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查“培训记录及培训效果评价表”，抽见：</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Cs w:val="21"/>
                <w:lang w:val="en-US" w:eastAsia="zh-CN"/>
              </w:rPr>
            </w:pPr>
            <w:r>
              <w:rPr>
                <w:rFonts w:hint="default" w:ascii="Times New Roman" w:hAnsi="Times New Roman" w:cs="Times New Roman"/>
                <w:color w:val="auto"/>
                <w:szCs w:val="22"/>
                <w:highlight w:val="none"/>
                <w:lang w:val="en-US" w:eastAsia="zh-CN"/>
              </w:rPr>
              <w:t>管理体系内审员培训—</w:t>
            </w:r>
            <w:r>
              <w:rPr>
                <w:rFonts w:hint="default" w:ascii="Times New Roman" w:hAnsi="Times New Roman" w:cs="Times New Roman"/>
                <w:szCs w:val="21"/>
                <w:lang w:val="en-US" w:eastAsia="zh-CN"/>
              </w:rPr>
              <w:t>—2021.</w:t>
            </w:r>
            <w:r>
              <w:rPr>
                <w:rFonts w:hint="eastAsia" w:ascii="Times New Roman" w:hAnsi="Times New Roman" w:cs="Times New Roman"/>
                <w:szCs w:val="21"/>
                <w:lang w:val="en-US" w:eastAsia="zh-CN"/>
              </w:rPr>
              <w:t>1.16</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环境、安全法律法规的培训——</w:t>
            </w:r>
            <w:r>
              <w:rPr>
                <w:rFonts w:hint="default" w:ascii="Times New Roman" w:hAnsi="Times New Roman" w:cs="Times New Roman"/>
                <w:szCs w:val="21"/>
                <w:lang w:val="en-US" w:eastAsia="zh-CN"/>
              </w:rPr>
              <w:t>2021.</w:t>
            </w:r>
            <w:r>
              <w:rPr>
                <w:rFonts w:hint="eastAsia" w:ascii="Times New Roman" w:hAnsi="Times New Roman" w:cs="Times New Roman"/>
                <w:szCs w:val="21"/>
                <w:lang w:val="en-US" w:eastAsia="zh-CN"/>
              </w:rPr>
              <w:t>5</w:t>
            </w:r>
            <w:r>
              <w:rPr>
                <w:rFonts w:hint="default" w:ascii="Times New Roman" w:hAnsi="Times New Roman" w:cs="Times New Roman"/>
                <w:szCs w:val="21"/>
                <w:lang w:val="en-US" w:eastAsia="zh-CN"/>
              </w:rPr>
              <w:t>.1</w:t>
            </w:r>
            <w:r>
              <w:rPr>
                <w:rFonts w:hint="eastAsia" w:ascii="Times New Roman" w:hAnsi="Times New Roman" w:cs="Times New Roman"/>
                <w:szCs w:val="21"/>
                <w:lang w:val="en-US" w:eastAsia="zh-CN"/>
              </w:rPr>
              <w:t>3</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highlight w:val="yellow"/>
                <w:lang w:val="en-US" w:eastAsia="zh-CN"/>
              </w:rPr>
            </w:pPr>
            <w:r>
              <w:rPr>
                <w:rFonts w:hint="default" w:ascii="Times New Roman" w:hAnsi="Times New Roman" w:cs="Times New Roman"/>
                <w:color w:val="auto"/>
                <w:szCs w:val="22"/>
                <w:highlight w:val="none"/>
                <w:lang w:val="en-US" w:eastAsia="zh-CN"/>
              </w:rPr>
              <w:t>考核及评价记录显示以口头问答的方式对培训效果进行了评价，培训达到预期的目的。</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查见人员证书：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杨</w:t>
            </w:r>
            <w:r>
              <w:rPr>
                <w:rFonts w:hint="default" w:ascii="Times New Roman" w:hAnsi="Times New Roman" w:cs="Times New Roman"/>
                <w:color w:val="auto"/>
                <w:szCs w:val="22"/>
                <w:highlight w:val="none"/>
                <w:lang w:val="en-US" w:eastAsia="zh-CN"/>
              </w:rPr>
              <w:t>XX——</w:t>
            </w:r>
            <w:r>
              <w:rPr>
                <w:rFonts w:hint="eastAsia" w:ascii="Times New Roman" w:hAnsi="Times New Roman" w:cs="Times New Roman"/>
                <w:color w:val="auto"/>
                <w:szCs w:val="22"/>
                <w:highlight w:val="none"/>
                <w:lang w:val="en-US" w:eastAsia="zh-CN"/>
              </w:rPr>
              <w:t>维修电工</w:t>
            </w:r>
            <w:r>
              <w:rPr>
                <w:rFonts w:hint="default" w:ascii="Times New Roman" w:hAnsi="Times New Roman" w:cs="Times New Roman"/>
                <w:color w:val="auto"/>
                <w:szCs w:val="22"/>
                <w:highlight w:val="none"/>
                <w:lang w:val="en-US" w:eastAsia="zh-CN"/>
              </w:rPr>
              <w:t>，20</w:t>
            </w:r>
            <w:r>
              <w:rPr>
                <w:rFonts w:hint="eastAsia" w:ascii="Times New Roman" w:hAnsi="Times New Roman" w:cs="Times New Roman"/>
                <w:color w:val="auto"/>
                <w:szCs w:val="22"/>
                <w:highlight w:val="none"/>
                <w:lang w:val="en-US" w:eastAsia="zh-CN"/>
              </w:rPr>
              <w:t>14</w:t>
            </w:r>
            <w:r>
              <w:rPr>
                <w:rFonts w:hint="default" w:ascii="Times New Roman" w:hAnsi="Times New Roman" w:cs="Times New Roman"/>
                <w:color w:val="auto"/>
                <w:szCs w:val="22"/>
                <w:highlight w:val="none"/>
                <w:lang w:val="en-US" w:eastAsia="zh-CN"/>
              </w:rPr>
              <w:t>.0</w:t>
            </w:r>
            <w:r>
              <w:rPr>
                <w:rFonts w:hint="eastAsia" w:ascii="Times New Roman" w:hAnsi="Times New Roman" w:cs="Times New Roman"/>
                <w:color w:val="auto"/>
                <w:szCs w:val="22"/>
                <w:highlight w:val="none"/>
                <w:lang w:val="en-US" w:eastAsia="zh-CN"/>
              </w:rPr>
              <w:t>4</w:t>
            </w:r>
            <w:r>
              <w:rPr>
                <w:rFonts w:hint="default" w:ascii="Times New Roman" w:hAnsi="Times New Roman"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22</w:t>
            </w:r>
            <w:r>
              <w:rPr>
                <w:rFonts w:hint="default" w:ascii="Times New Roman" w:hAnsi="Times New Roman"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南昌市职业技能鉴定中心</w:t>
            </w:r>
            <w:r>
              <w:rPr>
                <w:rFonts w:hint="default" w:ascii="Times New Roman" w:hAnsi="Times New Roman" w:cs="Times New Roman"/>
                <w:color w:val="auto"/>
                <w:szCs w:val="22"/>
                <w:highlight w:val="none"/>
                <w:lang w:val="en-US" w:eastAsia="zh-CN"/>
              </w:rPr>
              <w:t>发，有效；</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意识：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员工能明确自身职责及岗位要求，自身工作影响，如何减少环境污染，员工人身安全意识等。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zCs w:val="22"/>
                <w:highlight w:val="none"/>
                <w:lang w:val="en-US" w:eastAsia="zh-CN"/>
              </w:rPr>
              <w:t>基本能满足要求。</w:t>
            </w:r>
          </w:p>
        </w:tc>
        <w:tc>
          <w:tcPr>
            <w:tcW w:w="1585" w:type="dxa"/>
            <w:vAlign w:val="center"/>
          </w:tcPr>
          <w:p>
            <w:pPr>
              <w:spacing w:line="360" w:lineRule="auto"/>
              <w:jc w:val="center"/>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80" w:type="dxa"/>
            <w:shd w:val="clear" w:color="auto" w:fill="auto"/>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lang w:val="en-US" w:eastAsia="zh-CN"/>
              </w:rPr>
              <w:t>基础设施</w:t>
            </w:r>
          </w:p>
        </w:tc>
        <w:tc>
          <w:tcPr>
            <w:tcW w:w="1140" w:type="dxa"/>
            <w:vAlign w:val="center"/>
          </w:tcPr>
          <w:p>
            <w:pPr>
              <w:spacing w:line="360" w:lineRule="auto"/>
              <w:jc w:val="center"/>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Q</w:t>
            </w:r>
            <w:r>
              <w:rPr>
                <w:rFonts w:hint="default" w:ascii="Times New Roman" w:hAnsi="Times New Roman" w:cs="Times New Roman"/>
                <w:color w:val="auto"/>
                <w:spacing w:val="-6"/>
                <w:kern w:val="2"/>
                <w:sz w:val="21"/>
                <w:szCs w:val="21"/>
                <w:lang w:val="en-US" w:eastAsia="zh-CN" w:bidi="ar-SA"/>
              </w:rPr>
              <w:t>:</w:t>
            </w:r>
            <w:r>
              <w:rPr>
                <w:rFonts w:hint="default" w:ascii="Times New Roman" w:hAnsi="Times New Roman" w:eastAsia="宋体" w:cs="Times New Roman"/>
                <w:color w:val="auto"/>
                <w:spacing w:val="-6"/>
                <w:kern w:val="2"/>
                <w:sz w:val="21"/>
                <w:szCs w:val="21"/>
                <w:lang w:val="en-US" w:eastAsia="zh-CN" w:bidi="ar-SA"/>
              </w:rPr>
              <w:t>7.1.</w:t>
            </w:r>
            <w:r>
              <w:rPr>
                <w:rFonts w:hint="eastAsia" w:ascii="Times New Roman" w:hAnsi="Times New Roman" w:cs="Times New Roman"/>
                <w:color w:val="auto"/>
                <w:spacing w:val="-6"/>
                <w:kern w:val="2"/>
                <w:sz w:val="21"/>
                <w:szCs w:val="21"/>
                <w:lang w:val="en-US" w:eastAsia="zh-CN" w:bidi="ar-SA"/>
              </w:rPr>
              <w:t>3</w:t>
            </w: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查见“设备台账”，登记有桌面发行器、平板发行器、电脑、打印机等若干设备；</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介绍说，设备维护主要是设计、开发用的电脑杀毒、升级和备份；介绍说，杀毒和升级由工作人员自主完成；记录由电脑自动生成。</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没有策划维护计划，交流。</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介绍说，电脑出现故障时，由电脑供应商提供售后服务，一般报修通过电话进行，故障排除后通过试运行进行验收。</w:t>
            </w:r>
          </w:p>
        </w:tc>
        <w:tc>
          <w:tcPr>
            <w:tcW w:w="1585"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shd w:val="clear" w:color="auto" w:fill="auto"/>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lang w:val="en-US" w:eastAsia="zh-CN"/>
              </w:rPr>
              <w:t>过程运行环境</w:t>
            </w:r>
          </w:p>
        </w:tc>
        <w:tc>
          <w:tcPr>
            <w:tcW w:w="1140" w:type="dxa"/>
            <w:vAlign w:val="center"/>
          </w:tcPr>
          <w:p>
            <w:pPr>
              <w:spacing w:line="360" w:lineRule="auto"/>
              <w:jc w:val="center"/>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Q</w:t>
            </w:r>
            <w:r>
              <w:rPr>
                <w:rFonts w:hint="default" w:ascii="Times New Roman" w:hAnsi="Times New Roman" w:cs="Times New Roman"/>
                <w:color w:val="auto"/>
                <w:spacing w:val="-6"/>
                <w:kern w:val="2"/>
                <w:sz w:val="21"/>
                <w:szCs w:val="21"/>
                <w:lang w:val="en-US" w:eastAsia="zh-CN" w:bidi="ar-SA"/>
              </w:rPr>
              <w:t>:</w:t>
            </w:r>
            <w:r>
              <w:rPr>
                <w:rFonts w:hint="default" w:ascii="Times New Roman" w:hAnsi="Times New Roman" w:eastAsia="宋体" w:cs="Times New Roman"/>
                <w:color w:val="auto"/>
                <w:spacing w:val="-6"/>
                <w:kern w:val="2"/>
                <w:sz w:val="21"/>
                <w:szCs w:val="21"/>
                <w:lang w:val="en-US" w:eastAsia="zh-CN" w:bidi="ar-SA"/>
              </w:rPr>
              <w:t>7.1.</w:t>
            </w:r>
            <w:r>
              <w:rPr>
                <w:rFonts w:hint="eastAsia" w:ascii="Times New Roman" w:hAnsi="Times New Roman" w:cs="Times New Roman"/>
                <w:color w:val="auto"/>
                <w:spacing w:val="-6"/>
                <w:kern w:val="2"/>
                <w:sz w:val="21"/>
                <w:szCs w:val="21"/>
                <w:lang w:val="en-US" w:eastAsia="zh-CN" w:bidi="ar-SA"/>
              </w:rPr>
              <w:t>4</w:t>
            </w:r>
          </w:p>
        </w:tc>
        <w:tc>
          <w:tcPr>
            <w:tcW w:w="10004" w:type="dxa"/>
            <w:vAlign w:val="top"/>
          </w:tcPr>
          <w:p>
            <w:pPr>
              <w:shd w:val="clear"/>
              <w:spacing w:line="360" w:lineRule="auto"/>
              <w:ind w:firstLine="396" w:firstLineChars="200"/>
              <w:rPr>
                <w:rFonts w:hint="eastAsia" w:ascii="宋体" w:hAnsi="宋体" w:eastAsia="宋体" w:cs="Arial"/>
                <w:spacing w:val="-6"/>
                <w:sz w:val="21"/>
                <w:szCs w:val="21"/>
                <w:highlight w:val="none"/>
                <w:lang w:val="en-US" w:eastAsia="zh-CN"/>
              </w:rPr>
            </w:pPr>
            <w:r>
              <w:rPr>
                <w:rFonts w:hint="eastAsia" w:ascii="宋体" w:hAnsi="宋体" w:eastAsia="宋体" w:cs="Arial"/>
                <w:spacing w:val="-6"/>
                <w:sz w:val="21"/>
                <w:szCs w:val="21"/>
                <w:highlight w:val="none"/>
                <w:lang w:val="en-US" w:eastAsia="zh-CN"/>
              </w:rPr>
              <w:t>现场观察：</w:t>
            </w:r>
          </w:p>
          <w:p>
            <w:pPr>
              <w:shd w:val="clear"/>
              <w:spacing w:line="360" w:lineRule="auto"/>
              <w:ind w:firstLine="396" w:firstLineChars="200"/>
              <w:rPr>
                <w:rFonts w:hint="default" w:ascii="Times New Roman" w:hAnsi="Times New Roman" w:cs="Times New Roman"/>
                <w:color w:val="auto"/>
                <w:szCs w:val="22"/>
                <w:highlight w:val="none"/>
                <w:lang w:val="en-US" w:eastAsia="zh-CN"/>
              </w:rPr>
            </w:pPr>
            <w:r>
              <w:rPr>
                <w:rFonts w:hint="eastAsia" w:ascii="宋体" w:hAnsi="宋体" w:eastAsia="宋体" w:cs="Arial"/>
                <w:spacing w:val="-6"/>
                <w:sz w:val="21"/>
                <w:szCs w:val="21"/>
                <w:highlight w:val="none"/>
                <w:lang w:val="en-US" w:eastAsia="zh-CN"/>
              </w:rPr>
              <w:t>办公环境面积大约</w:t>
            </w:r>
            <w:r>
              <w:rPr>
                <w:rFonts w:hint="eastAsia" w:ascii="宋体" w:hAnsi="宋体" w:cs="Arial"/>
                <w:spacing w:val="-6"/>
                <w:sz w:val="21"/>
                <w:szCs w:val="21"/>
                <w:highlight w:val="none"/>
                <w:lang w:val="en-US" w:eastAsia="zh-CN"/>
              </w:rPr>
              <w:t>20</w:t>
            </w:r>
            <w:r>
              <w:rPr>
                <w:rFonts w:hint="eastAsia" w:ascii="宋体" w:hAnsi="宋体" w:eastAsia="宋体" w:cs="Arial"/>
                <w:spacing w:val="-6"/>
                <w:sz w:val="21"/>
                <w:szCs w:val="21"/>
                <w:highlight w:val="none"/>
                <w:lang w:val="en-US" w:eastAsia="zh-CN"/>
              </w:rPr>
              <w:t>00平方米，工作场所布局合理，座椅和办公桌符合人体工程学要求，员工有自我防护意识，工间能适当走动、休息；各研发技术人员坐姿正确，避免过度疲劳；电脑显示器调整到保护视力的颜色；配置有适量的绿植，办公环境光照、温度适宜，通风良好，办公场所物品摆放整齐、有序，未见随意乱放私人物品的情况；满足办公需求。</w:t>
            </w:r>
          </w:p>
        </w:tc>
        <w:tc>
          <w:tcPr>
            <w:tcW w:w="1585"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center"/>
          </w:tcPr>
          <w:p>
            <w:pPr>
              <w:spacing w:line="36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组织知识</w:t>
            </w:r>
          </w:p>
        </w:tc>
        <w:tc>
          <w:tcPr>
            <w:tcW w:w="1140" w:type="dxa"/>
            <w:vAlign w:val="center"/>
          </w:tcPr>
          <w:p>
            <w:pPr>
              <w:spacing w:line="36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Q</w:t>
            </w:r>
            <w:r>
              <w:rPr>
                <w:rFonts w:hint="default" w:ascii="Times New Roman" w:hAnsi="Times New Roman" w:cs="Times New Roman"/>
                <w:color w:val="auto"/>
                <w:spacing w:val="-6"/>
                <w:kern w:val="2"/>
                <w:sz w:val="21"/>
                <w:szCs w:val="21"/>
                <w:lang w:val="en-US" w:eastAsia="zh-CN" w:bidi="ar-SA"/>
              </w:rPr>
              <w:t>:</w:t>
            </w:r>
            <w:r>
              <w:rPr>
                <w:rFonts w:hint="default" w:ascii="Times New Roman" w:hAnsi="Times New Roman" w:eastAsia="宋体" w:cs="Times New Roman"/>
                <w:color w:val="auto"/>
                <w:spacing w:val="-6"/>
                <w:kern w:val="2"/>
                <w:sz w:val="21"/>
                <w:szCs w:val="21"/>
                <w:lang w:val="en-US" w:eastAsia="zh-CN" w:bidi="ar-SA"/>
              </w:rPr>
              <w:t>7.1.6</w:t>
            </w: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从内部来源获取的有：多年的工作经验、教训、内部的知识产权等；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外部来源获取有：标杆对比、行业会议、客户技术要求、咨询老师传授的体系知识及所实施的内审员的培训；顾客方提供的资料等。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保持有</w:t>
            </w:r>
            <w:r>
              <w:rPr>
                <w:rFonts w:hint="eastAsia" w:ascii="Times New Roman" w:hAnsi="Times New Roman" w:cs="Times New Roman"/>
                <w:color w:val="auto"/>
                <w:szCs w:val="22"/>
                <w:highlight w:val="none"/>
                <w:lang w:val="en-US" w:eastAsia="zh-CN"/>
              </w:rPr>
              <w:t>软件著作权证书13</w:t>
            </w:r>
            <w:r>
              <w:rPr>
                <w:rFonts w:hint="default" w:ascii="Times New Roman" w:hAnsi="Times New Roman" w:cs="Times New Roman"/>
                <w:color w:val="auto"/>
                <w:szCs w:val="22"/>
                <w:highlight w:val="none"/>
                <w:lang w:val="en-US" w:eastAsia="zh-CN"/>
              </w:rPr>
              <w:t>个；</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在应对变化的需求和趋势时，相关部门考虑现有的知识，确定如何获取更多的必要的额外知识，并根据变化的情况及时更新。</w:t>
            </w:r>
          </w:p>
        </w:tc>
        <w:tc>
          <w:tcPr>
            <w:tcW w:w="1585"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rPr>
              <w:t>外部提供过程、产品和服务的控制</w:t>
            </w:r>
          </w:p>
        </w:tc>
        <w:tc>
          <w:tcPr>
            <w:tcW w:w="1140" w:type="dxa"/>
            <w:vAlign w:val="top"/>
          </w:tcPr>
          <w:p>
            <w:pPr>
              <w:spacing w:line="360" w:lineRule="auto"/>
              <w:jc w:val="center"/>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Q:</w:t>
            </w:r>
            <w:r>
              <w:rPr>
                <w:rFonts w:hint="default" w:ascii="Times New Roman" w:hAnsi="Times New Roman" w:cs="Times New Roman"/>
                <w:color w:val="auto"/>
                <w:spacing w:val="-6"/>
                <w:sz w:val="21"/>
                <w:szCs w:val="21"/>
              </w:rPr>
              <w:t>8.4</w:t>
            </w: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编制有：采购控制程序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策划有:选择、评价和重新评价供方的准则；</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查见“供方调查评价表”，抽见对以下厂家或供应商进行了调查评价:</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eastAsia" w:ascii="宋体" w:hAnsi="宋体"/>
                <w:b w:val="0"/>
                <w:bCs w:val="0"/>
                <w:sz w:val="24"/>
                <w:lang w:val="en-US" w:eastAsia="zh-CN"/>
              </w:rPr>
              <w:t>深圳市金溢科技股份有限</w:t>
            </w:r>
            <w:r>
              <w:rPr>
                <w:rFonts w:hint="eastAsia" w:ascii="Times New Roman" w:hAnsi="Times New Roman" w:cs="Times New Roman"/>
                <w:color w:val="auto"/>
                <w:szCs w:val="22"/>
                <w:highlight w:val="none"/>
                <w:lang w:val="en-US" w:eastAsia="zh-CN"/>
              </w:rPr>
              <w:t>公司</w:t>
            </w:r>
            <w:r>
              <w:rPr>
                <w:rFonts w:hint="default" w:ascii="Times New Roman" w:hAnsi="Times New Roman"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桌面发行器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武汉天喻信息产业股份有限公司</w:t>
            </w:r>
            <w:r>
              <w:rPr>
                <w:rFonts w:hint="default" w:ascii="Times New Roman" w:hAnsi="Times New Roman"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赣通卡</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北京万集科技股份有限公司</w:t>
            </w:r>
            <w:r>
              <w:rPr>
                <w:rFonts w:hint="default" w:ascii="Times New Roman" w:hAnsi="Times New Roman"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平板发行器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江西集捷智能科技有限公司</w:t>
            </w:r>
            <w:r>
              <w:rPr>
                <w:rFonts w:hint="default" w:ascii="Times New Roman" w:hAnsi="Times New Roman"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ETC服务中心站点设备</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明确了调查内容包括相关资质、生产设备、作业环境、技术力量、检测、供应能力、质量保证等方面；</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供方明确承诺安全生产、质量第一，样品检测合格。</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评审人员签名，评审结论为继续列入合格供方名录。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查见“合格供方名录”，一致。</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查采购要求的控制，介绍说，通过签订采购合同进行控制，抽见采购合同：</w:t>
            </w:r>
          </w:p>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eastAsia="宋体" w:cs="Times New Roman"/>
                <w:lang w:val="en-US" w:eastAsia="zh-CN"/>
              </w:rPr>
              <w:t>武汉天喻信息产业股份有限公司</w:t>
            </w:r>
            <w:r>
              <w:rPr>
                <w:rFonts w:hint="default" w:ascii="Times New Roman" w:hAnsi="Times New Roman" w:cs="Times New Roman"/>
                <w:color w:val="auto"/>
                <w:szCs w:val="22"/>
                <w:highlight w:val="none"/>
                <w:lang w:val="en-US" w:eastAsia="zh-CN"/>
              </w:rPr>
              <w:t>——</w:t>
            </w:r>
            <w:r>
              <w:rPr>
                <w:rFonts w:hint="eastAsia" w:ascii="宋体" w:hAnsi="宋体"/>
                <w:b w:val="0"/>
                <w:bCs w:val="0"/>
                <w:sz w:val="24"/>
                <w:lang w:val="en-US" w:eastAsia="zh-CN"/>
              </w:rPr>
              <w:t>江西省高速公路ETC</w:t>
            </w:r>
            <w:r>
              <w:rPr>
                <w:rFonts w:hint="eastAsia" w:ascii="Times New Roman" w:hAnsi="Times New Roman" w:cs="Times New Roman"/>
                <w:color w:val="auto"/>
                <w:szCs w:val="22"/>
                <w:highlight w:val="none"/>
                <w:lang w:val="en-US" w:eastAsia="zh-CN"/>
              </w:rPr>
              <w:t>赣通卡采购合同，2020年10月22日</w:t>
            </w:r>
            <w:r>
              <w:rPr>
                <w:rFonts w:hint="default" w:ascii="Times New Roman" w:hAnsi="Times New Roman"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以上合同明确了名称、规格型号、数量、价格、质量、配置要求、交付、结算、验收标准等内容；</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以上供方均在合格供方名录。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本公司无外包过程。</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合规义务</w:t>
            </w:r>
          </w:p>
          <w:p>
            <w:pPr>
              <w:pStyle w:val="2"/>
              <w:ind w:left="0" w:leftChars="0" w:firstLine="0" w:firstLineChars="0"/>
              <w:rPr>
                <w:rFonts w:hint="default" w:ascii="Times New Roman" w:hAnsi="Times New Roman" w:eastAsia="宋体" w:cs="Times New Roman"/>
                <w:kern w:val="2"/>
                <w:sz w:val="21"/>
                <w:lang w:val="en-US" w:eastAsia="zh-CN" w:bidi="ar-SA"/>
              </w:rPr>
            </w:pPr>
            <w:r>
              <w:rPr>
                <w:rFonts w:hint="default" w:ascii="Times New Roman" w:hAnsi="Times New Roman" w:cs="Times New Roman" w:eastAsiaTheme="minorEastAsia"/>
                <w:kern w:val="2"/>
                <w:sz w:val="21"/>
                <w:lang w:val="en-US" w:eastAsia="zh-CN" w:bidi="ar-SA"/>
              </w:rPr>
              <w:t>合规性评价</w:t>
            </w:r>
          </w:p>
        </w:tc>
        <w:tc>
          <w:tcPr>
            <w:tcW w:w="1140" w:type="dxa"/>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imes New Roman" w:hAnsi="Times New Roman" w:cs="Times New Roman" w:eastAsiaTheme="minorEastAsia"/>
                <w:color w:val="auto"/>
                <w:spacing w:val="-6"/>
                <w:kern w:val="2"/>
                <w:sz w:val="21"/>
                <w:szCs w:val="21"/>
                <w:lang w:val="en-US" w:eastAsia="zh-CN" w:bidi="ar-SA"/>
              </w:rPr>
            </w:pPr>
            <w:r>
              <w:rPr>
                <w:rFonts w:hint="default" w:ascii="Times New Roman" w:hAnsi="Times New Roman" w:cs="Times New Roman" w:eastAsiaTheme="minorEastAsia"/>
                <w:color w:val="auto"/>
                <w:spacing w:val="-6"/>
                <w:kern w:val="2"/>
                <w:sz w:val="21"/>
                <w:szCs w:val="21"/>
                <w:lang w:val="en-US" w:eastAsia="zh-CN" w:bidi="ar-SA"/>
              </w:rPr>
              <w:t>EO:6.1.3</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imes New Roman" w:hAnsi="Times New Roman" w:cs="Times New Roman" w:eastAsiaTheme="minorEastAsia"/>
                <w:color w:val="auto"/>
                <w:spacing w:val="-6"/>
                <w:kern w:val="2"/>
                <w:sz w:val="21"/>
                <w:szCs w:val="21"/>
                <w:lang w:val="en-US" w:eastAsia="zh-CN" w:bidi="ar-SA"/>
              </w:rPr>
            </w:pPr>
            <w:r>
              <w:rPr>
                <w:rFonts w:hint="default" w:ascii="Times New Roman" w:hAnsi="Times New Roman" w:cs="Times New Roman" w:eastAsiaTheme="minorEastAsia"/>
                <w:color w:val="auto"/>
                <w:spacing w:val="-6"/>
                <w:kern w:val="2"/>
                <w:sz w:val="21"/>
                <w:szCs w:val="21"/>
                <w:lang w:val="en-US" w:eastAsia="zh-CN" w:bidi="ar-SA"/>
              </w:rPr>
              <w:t>9.1.2</w:t>
            </w: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查见“环境和职业健康安全法律法规控制程序”，有效文件；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环境法律法规及其他要求清单、职业健康安全法律法规及其他要求清单，分别收集了环境保护和职业健康安全相关的法律法规以及条例、标准等86个，包含了：中华人民共和国环境保护法、中华人民共和国环境噪声污染防治法、中华人民共和国大气污染防治法、中华人民共和国水污染防治法、工业企业厂界环境噪声排放标准GB12348-2008、环境空气质量标准GB3095-2012、大气污染物综合排放标准GB16297-1996、中华人民共和国职业病防治法、中华人民共和国消防法、中华人民共和国劳动法、中华人民共和国妇女权益保障法、中华人民共和国安全生产法、GB/T 11651-2008个体防护装备选用规范等；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合规性评价报告”，2021年1月3日，公司进行了合规性评价，明确了评价范围和依据，评价结论：公司没有违反国家法律、法规及相关标准，能严格遵守国家有关环境和职业健康安全管理方面的相关规定，密切关注法律法规的变化，并适时调整，严格按体系标准执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保留了合规性评价记录。</w:t>
            </w:r>
          </w:p>
        </w:tc>
        <w:tc>
          <w:tcPr>
            <w:tcW w:w="1585" w:type="dxa"/>
            <w:vAlign w:val="top"/>
          </w:tcPr>
          <w:p>
            <w:pPr>
              <w:rPr>
                <w:rFonts w:hint="default" w:ascii="Times New Roman" w:hAnsi="Times New Roman" w:cs="Times New Roman"/>
                <w:lang w:val="en-US" w:eastAsia="zh-CN"/>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980"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u w:val="none"/>
              </w:rPr>
              <w:t>运行策划和控制</w:t>
            </w:r>
          </w:p>
        </w:tc>
        <w:tc>
          <w:tcPr>
            <w:tcW w:w="1140" w:type="dxa"/>
            <w:vAlign w:val="top"/>
          </w:tcPr>
          <w:p>
            <w:pPr>
              <w:spacing w:line="360" w:lineRule="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8.1</w:t>
            </w: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公司策划了环境安全管理相关程序文件和管理制度：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运行控制程序、废弃物控制程序、噪声控制程序、消防控制程序、资源能源控制程序、应急准备和响应控制程序等；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现场观察：配置的办公桌符合人机工程要求，干净整洁，照明、通风良好；配置有空调，温度适宜；有少量绿植；查见配置有灭火器，状态良好；</w:t>
            </w:r>
          </w:p>
          <w:p>
            <w:pPr>
              <w:spacing w:line="360" w:lineRule="auto"/>
              <w:ind w:firstLine="420" w:firstLineChars="200"/>
              <w:rPr>
                <w:rFonts w:hint="default" w:ascii="Times New Roman" w:hAnsi="Times New Roman" w:eastAsia="宋体" w:cs="Times New Roman"/>
                <w:b w:val="0"/>
                <w:kern w:val="2"/>
                <w:sz w:val="21"/>
                <w:szCs w:val="22"/>
                <w:lang w:val="en-US" w:eastAsia="zh-CN" w:bidi="ar-SA"/>
              </w:rPr>
            </w:pPr>
            <w:r>
              <w:rPr>
                <w:rFonts w:hint="default" w:ascii="Times New Roman" w:hAnsi="Times New Roman" w:eastAsia="宋体" w:cs="Times New Roman"/>
                <w:b w:val="0"/>
                <w:kern w:val="2"/>
                <w:sz w:val="21"/>
                <w:szCs w:val="22"/>
                <w:lang w:val="en-US" w:eastAsia="zh-CN" w:bidi="ar-SA"/>
              </w:rPr>
              <w:t>办公室内主要是电的使用，现场查看电路、电源正常，电路布线合理、电气插座完整，未见破损，无乱拉乱接电线、使用超额电气等现象；未见用电不当等安全隐患及不良影响现象。</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节约用水用电、纸张双面使用、无乱拉乱接电线、无超额电器使用；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生活废水经市政管网排放；</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办公环境安静，无明显噪声和废气；</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办公垃圾由环卫部门收集处理；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办公用墨盒硒鼓等危废以旧换新；</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对部门员工进行了不定期的交通安全宣传；</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查见“相关方告知书”，有效文件，对供方进行了环境和职业健康安全有关事项的沟通。</w:t>
            </w:r>
          </w:p>
        </w:tc>
        <w:tc>
          <w:tcPr>
            <w:tcW w:w="1585"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Times New Roman" w:hAnsi="Times New Roman" w:cs="Times New Roman"/>
                <w:color w:val="auto"/>
                <w:spacing w:val="-6"/>
                <w:sz w:val="21"/>
                <w:szCs w:val="21"/>
                <w:u w:val="none"/>
                <w:lang w:eastAsia="zh-CN"/>
              </w:rPr>
              <w:t>应急准备和响应</w:t>
            </w:r>
          </w:p>
        </w:tc>
        <w:tc>
          <w:tcPr>
            <w:tcW w:w="1140" w:type="dxa"/>
            <w:vAlign w:val="top"/>
          </w:tcPr>
          <w:p>
            <w:pPr>
              <w:spacing w:line="360" w:lineRule="auto"/>
              <w:rPr>
                <w:rFonts w:hint="eastAsia"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w:t>
            </w:r>
            <w:r>
              <w:rPr>
                <w:rFonts w:hint="eastAsia" w:ascii="Times New Roman" w:hAnsi="Times New Roman" w:cs="Times New Roman"/>
                <w:color w:val="auto"/>
                <w:spacing w:val="-6"/>
                <w:sz w:val="21"/>
                <w:szCs w:val="21"/>
                <w:u w:val="none"/>
                <w:lang w:val="en-US" w:eastAsia="zh-CN"/>
              </w:rPr>
              <w:t>2</w:t>
            </w: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查见“应急预案”，编制有火灾应急预案、触电事故应急预案；</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查见“公司应急演练计划”，计划进行火灾应急预案演练、触电应急预案演练；</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查见“应急预案演练记录”，显示2021.6.17，公司组织进行了火灾应急预案演练；记录了演练过程；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对演练效果进行了总结，针对总结的情况，提出了下一步的工作安排。</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eastAsia"/>
                <w:color w:val="auto"/>
                <w:szCs w:val="22"/>
                <w:highlight w:val="none"/>
                <w:lang w:val="en-US" w:eastAsia="zh-CN"/>
              </w:rPr>
              <w:t>查见“环境安全运行检查记录”，对应急物资有准备和必要的检查；</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yellow"/>
                <w:lang w:val="en-US" w:eastAsia="zh-CN"/>
              </w:rPr>
            </w:pPr>
            <w:r>
              <w:rPr>
                <w:rFonts w:hint="default" w:ascii="Times New Roman" w:hAnsi="Times New Roman" w:cs="Times New Roman"/>
                <w:color w:val="auto"/>
                <w:szCs w:val="22"/>
                <w:highlight w:val="none"/>
                <w:lang w:val="en-US" w:eastAsia="zh-CN"/>
              </w:rPr>
              <w:t>基本符合。</w:t>
            </w:r>
          </w:p>
        </w:tc>
        <w:tc>
          <w:tcPr>
            <w:tcW w:w="1585" w:type="dxa"/>
            <w:vAlign w:val="top"/>
          </w:tcPr>
          <w:p>
            <w:pPr>
              <w:spacing w:line="360" w:lineRule="auto"/>
              <w:rPr>
                <w:rFonts w:hint="default" w:ascii="Times New Roman" w:hAnsi="Times New Roman"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980"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成文信息</w:t>
            </w:r>
          </w:p>
        </w:tc>
        <w:tc>
          <w:tcPr>
            <w:tcW w:w="1140" w:type="dxa"/>
            <w:vAlign w:val="top"/>
          </w:tcPr>
          <w:p>
            <w:pPr>
              <w:spacing w:line="360" w:lineRule="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QEO:7.5</w:t>
            </w: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策划了公司的管理体系文件，包括：</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管理手册——A/0，202</w:t>
            </w:r>
            <w:r>
              <w:rPr>
                <w:rFonts w:hint="eastAsia" w:ascii="Times New Roman" w:hAnsi="Times New Roman" w:cs="Times New Roman"/>
                <w:color w:val="auto"/>
                <w:szCs w:val="22"/>
                <w:highlight w:val="none"/>
                <w:lang w:val="en-US" w:eastAsia="zh-CN"/>
              </w:rPr>
              <w:t>0</w:t>
            </w:r>
            <w:r>
              <w:rPr>
                <w:rFonts w:hint="default" w:ascii="Times New Roman" w:hAnsi="Times New Roman" w:cs="Times New Roman"/>
                <w:color w:val="auto"/>
                <w:szCs w:val="22"/>
                <w:highlight w:val="none"/>
                <w:lang w:val="en-US" w:eastAsia="zh-CN"/>
              </w:rPr>
              <w:t>年</w:t>
            </w:r>
            <w:r>
              <w:rPr>
                <w:rFonts w:hint="eastAsia" w:ascii="Times New Roman" w:hAnsi="Times New Roman" w:cs="Times New Roman"/>
                <w:color w:val="auto"/>
                <w:szCs w:val="22"/>
                <w:highlight w:val="none"/>
                <w:lang w:val="en-US" w:eastAsia="zh-CN"/>
              </w:rPr>
              <w:t>12</w:t>
            </w:r>
            <w:r>
              <w:rPr>
                <w:rFonts w:hint="default" w:ascii="Times New Roman" w:hAnsi="Times New Roman" w:cs="Times New Roman"/>
                <w:color w:val="auto"/>
                <w:szCs w:val="22"/>
                <w:highlight w:val="none"/>
                <w:lang w:val="en-US" w:eastAsia="zh-CN"/>
              </w:rPr>
              <w:t>月10日</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程序文件——A/0，202</w:t>
            </w:r>
            <w:r>
              <w:rPr>
                <w:rFonts w:hint="eastAsia" w:ascii="Times New Roman" w:hAnsi="Times New Roman" w:cs="Times New Roman"/>
                <w:color w:val="auto"/>
                <w:szCs w:val="22"/>
                <w:highlight w:val="none"/>
                <w:lang w:val="en-US" w:eastAsia="zh-CN"/>
              </w:rPr>
              <w:t>0</w:t>
            </w:r>
            <w:r>
              <w:rPr>
                <w:rFonts w:hint="default" w:ascii="Times New Roman" w:hAnsi="Times New Roman" w:cs="Times New Roman"/>
                <w:color w:val="auto"/>
                <w:szCs w:val="22"/>
                <w:highlight w:val="none"/>
                <w:lang w:val="en-US" w:eastAsia="zh-CN"/>
              </w:rPr>
              <w:t>年</w:t>
            </w:r>
            <w:r>
              <w:rPr>
                <w:rFonts w:hint="eastAsia" w:ascii="Times New Roman" w:hAnsi="Times New Roman" w:cs="Times New Roman"/>
                <w:color w:val="auto"/>
                <w:szCs w:val="22"/>
                <w:highlight w:val="none"/>
                <w:lang w:val="en-US" w:eastAsia="zh-CN"/>
              </w:rPr>
              <w:t>12</w:t>
            </w:r>
            <w:r>
              <w:rPr>
                <w:rFonts w:hint="default" w:ascii="Times New Roman" w:hAnsi="Times New Roman" w:cs="Times New Roman"/>
                <w:color w:val="auto"/>
                <w:szCs w:val="22"/>
                <w:highlight w:val="none"/>
                <w:lang w:val="en-US" w:eastAsia="zh-CN"/>
              </w:rPr>
              <w:t>月10日，27个；</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lang w:val="en-US" w:eastAsia="zh-CN"/>
              </w:rPr>
              <w:t>建立有外来文件清单，收集相关标准和法律，包括</w:t>
            </w:r>
            <w:r>
              <w:rPr>
                <w:rFonts w:hint="eastAsia"/>
                <w:sz w:val="22"/>
                <w:szCs w:val="28"/>
              </w:rPr>
              <w:t>电子计算机场地通用技术规范GBT 2887-2011</w:t>
            </w:r>
            <w:r>
              <w:rPr>
                <w:rFonts w:hint="eastAsia"/>
                <w:sz w:val="22"/>
                <w:szCs w:val="28"/>
                <w:lang w:eastAsia="zh-CN"/>
              </w:rPr>
              <w:t>、</w:t>
            </w:r>
            <w:r>
              <w:rPr>
                <w:rFonts w:hint="eastAsia"/>
                <w:sz w:val="22"/>
                <w:szCs w:val="28"/>
              </w:rPr>
              <w:t>电子信息系统机房设计规范</w:t>
            </w:r>
            <w:r>
              <w:rPr>
                <w:rFonts w:hint="eastAsia"/>
                <w:sz w:val="22"/>
                <w:szCs w:val="28"/>
                <w:lang w:val="en-US" w:eastAsia="zh-CN"/>
              </w:rPr>
              <w:t xml:space="preserve"> </w:t>
            </w:r>
            <w:r>
              <w:rPr>
                <w:rFonts w:hint="eastAsia"/>
                <w:sz w:val="22"/>
                <w:szCs w:val="28"/>
              </w:rPr>
              <w:t>GB50174-2008</w:t>
            </w:r>
            <w:r>
              <w:rPr>
                <w:rFonts w:hint="eastAsia"/>
                <w:sz w:val="22"/>
                <w:szCs w:val="28"/>
                <w:lang w:eastAsia="zh-CN"/>
              </w:rPr>
              <w:t>、</w:t>
            </w:r>
            <w:r>
              <w:rPr>
                <w:rFonts w:hint="eastAsia" w:ascii="Times New Roman" w:hAnsi="Times New Roman" w:eastAsia="宋体" w:cs="Times New Roman"/>
                <w:sz w:val="22"/>
                <w:szCs w:val="28"/>
                <w:lang w:val="en-US" w:eastAsia="zh-CN"/>
              </w:rPr>
              <w:t xml:space="preserve">电子收费 专用短信通信第1部分：物理层 </w:t>
            </w:r>
            <w:r>
              <w:rPr>
                <w:rFonts w:hint="eastAsia" w:ascii="Arial" w:hAnsi="Arial" w:cs="Arial"/>
                <w:color w:val="333333"/>
                <w:lang w:val="en-US" w:eastAsia="zh-CN"/>
              </w:rPr>
              <w:t>GB/T20851.1-2019</w:t>
            </w:r>
            <w:r>
              <w:rPr>
                <w:rFonts w:hint="default" w:ascii="Times New Roman" w:hAnsi="Times New Roman" w:cs="Times New Roman"/>
                <w:lang w:val="en-US" w:eastAsia="zh-CN"/>
              </w:rPr>
              <w:t>等</w:t>
            </w:r>
            <w:r>
              <w:rPr>
                <w:rFonts w:hint="eastAsia" w:ascii="Times New Roman" w:hAnsi="Times New Roman" w:cs="Times New Roman"/>
                <w:lang w:val="en-US" w:eastAsia="zh-CN"/>
              </w:rPr>
              <w:t>12</w:t>
            </w:r>
            <w:r>
              <w:rPr>
                <w:rFonts w:hint="default" w:ascii="Times New Roman" w:hAnsi="Times New Roman" w:cs="Times New Roman"/>
                <w:lang w:val="en-US" w:eastAsia="zh-CN"/>
              </w:rPr>
              <w:t>项</w:t>
            </w:r>
            <w:r>
              <w:rPr>
                <w:rFonts w:hint="default" w:ascii="Times New Roman" w:hAnsi="Times New Roman" w:cs="Times New Roman"/>
                <w:color w:val="auto"/>
                <w:szCs w:val="2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建立环境、职业健康安全法律法规和其他要求清单，共收集</w:t>
            </w:r>
            <w:r>
              <w:rPr>
                <w:rFonts w:hint="eastAsia" w:ascii="Times New Roman" w:hAnsi="Times New Roman" w:cs="Times New Roman"/>
                <w:color w:val="auto"/>
                <w:szCs w:val="22"/>
                <w:highlight w:val="none"/>
                <w:lang w:val="en-US" w:eastAsia="zh-CN"/>
              </w:rPr>
              <w:t>86</w:t>
            </w:r>
            <w:r>
              <w:rPr>
                <w:rFonts w:hint="default" w:ascii="Times New Roman" w:hAnsi="Times New Roman" w:cs="Times New Roman"/>
                <w:color w:val="auto"/>
                <w:szCs w:val="22"/>
                <w:highlight w:val="none"/>
                <w:lang w:val="en-US" w:eastAsia="zh-CN"/>
              </w:rPr>
              <w:t>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文件化管理体系目前基本满足要求。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——在编制体系文件时，对文件进行标识，主要有文件名称/编制部门/批准日期/文件编号等，经查管理手册/程序文件基本符合标准要求。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管理体系文件经过总经理审批实施发布，经评审，目前文件和目录均适用。符合要求。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——编制《文件控制程序》，内容符合基本标准要求。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成文信息由各部门负责保存，以便查阅。</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经查，基本符合标准要求。</w:t>
            </w:r>
          </w:p>
        </w:tc>
        <w:tc>
          <w:tcPr>
            <w:tcW w:w="1585"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Align w:val="top"/>
          </w:tcPr>
          <w:p>
            <w:pPr>
              <w:spacing w:line="360" w:lineRule="auto"/>
              <w:rPr>
                <w:rFonts w:hint="default" w:ascii="Times New Roman" w:hAnsi="Times New Roman" w:cs="Times New Roman"/>
                <w:spacing w:val="-6"/>
                <w:sz w:val="21"/>
                <w:szCs w:val="21"/>
                <w:u w:val="none"/>
              </w:rPr>
            </w:pPr>
            <w:r>
              <w:rPr>
                <w:rFonts w:hint="default" w:ascii="Times New Roman" w:hAnsi="Times New Roman" w:cs="Times New Roman"/>
                <w:spacing w:val="-6"/>
                <w:sz w:val="21"/>
                <w:szCs w:val="21"/>
                <w:u w:val="none"/>
              </w:rPr>
              <w:t>监视、测量、分析和评价总则</w:t>
            </w:r>
          </w:p>
          <w:p>
            <w:pPr>
              <w:spacing w:line="360" w:lineRule="auto"/>
              <w:rPr>
                <w:rFonts w:hint="default" w:ascii="Times New Roman" w:hAnsi="Times New Roman" w:cs="Times New Roman"/>
                <w:color w:val="auto"/>
                <w:lang w:val="en-US" w:eastAsia="zh-CN"/>
              </w:rPr>
            </w:pPr>
            <w:r>
              <w:rPr>
                <w:rFonts w:hint="default" w:ascii="Times New Roman" w:hAnsi="Times New Roman" w:cs="Times New Roman"/>
                <w:spacing w:val="-6"/>
                <w:sz w:val="21"/>
                <w:szCs w:val="21"/>
                <w:u w:val="none"/>
              </w:rPr>
              <w:t>分析与评价</w:t>
            </w:r>
          </w:p>
        </w:tc>
        <w:tc>
          <w:tcPr>
            <w:tcW w:w="1140" w:type="dxa"/>
            <w:vAlign w:val="top"/>
          </w:tcPr>
          <w:p>
            <w:pPr>
              <w:spacing w:line="360" w:lineRule="auto"/>
              <w:jc w:val="center"/>
              <w:rPr>
                <w:rFonts w:hint="default" w:ascii="Times New Roman" w:hAnsi="Times New Roman"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QEO:9.1.1</w:t>
            </w:r>
          </w:p>
          <w:p>
            <w:pPr>
              <w:spacing w:line="360" w:lineRule="auto"/>
              <w:jc w:val="center"/>
              <w:rPr>
                <w:rFonts w:hint="default" w:ascii="Times New Roman" w:hAnsi="Times New Roman" w:cs="Times New Roman"/>
                <w:lang w:val="en-US" w:eastAsia="zh-CN"/>
              </w:rPr>
            </w:pPr>
            <w:r>
              <w:rPr>
                <w:rFonts w:hint="default" w:ascii="Times New Roman" w:hAnsi="Times New Roman" w:cs="Times New Roman"/>
                <w:color w:val="auto"/>
                <w:spacing w:val="-6"/>
                <w:kern w:val="2"/>
                <w:sz w:val="21"/>
                <w:szCs w:val="21"/>
                <w:lang w:val="en-US" w:eastAsia="zh-CN" w:bidi="ar-SA"/>
              </w:rPr>
              <w:t>Q:9.1.3</w:t>
            </w: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公司保持有“监视和测量控制程序”，有效文件，无变化。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查见“项目服务年度工作总结”，对2020年的维保服务进行了总结，对数据进行了统计，对统计结果进行了分析；</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保留“目标分解考核表”，对目标完成情况进行绩效考核；</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查见“环境安全运行检查记录”，抽见2021.1-5，对固废管理、能源消耗、消防安全等进行了检查，结果均正常；检查人签字；</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公司对员工进行了身体健康体检，抽见体检报告，聂XX、邓XX、何XX等人，结果均正常；</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未有上级主管部门的监督检查。</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公司经营能遵守相关的法律法规，没有违反环境、职业健康安全法律法规现象，近期没有发生环境与职业健康安全的事故。</w:t>
            </w:r>
          </w:p>
        </w:tc>
        <w:tc>
          <w:tcPr>
            <w:tcW w:w="1585" w:type="dxa"/>
            <w:vAlign w:val="top"/>
          </w:tcPr>
          <w:p>
            <w:pPr>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80" w:type="dxa"/>
            <w:vAlign w:val="top"/>
          </w:tcPr>
          <w:p>
            <w:pPr>
              <w:spacing w:line="360" w:lineRule="auto"/>
              <w:rPr>
                <w:rFonts w:hint="default" w:ascii="Times New Roman" w:hAnsi="Times New Roman" w:cs="Times New Roman"/>
                <w:color w:val="auto"/>
              </w:rPr>
            </w:pPr>
            <w:r>
              <w:rPr>
                <w:rFonts w:hint="default" w:ascii="Times New Roman" w:hAnsi="Times New Roman" w:cs="Times New Roman"/>
                <w:color w:val="auto"/>
              </w:rPr>
              <w:t>内部审核</w:t>
            </w:r>
          </w:p>
          <w:p>
            <w:pPr>
              <w:spacing w:line="360" w:lineRule="auto"/>
              <w:rPr>
                <w:rFonts w:hint="default" w:ascii="Times New Roman" w:hAnsi="Times New Roman" w:eastAsia="宋体" w:cs="Times New Roman"/>
                <w:color w:val="0000FF"/>
                <w:kern w:val="2"/>
                <w:sz w:val="21"/>
                <w:lang w:val="en-US" w:eastAsia="zh-CN" w:bidi="ar-SA"/>
              </w:rPr>
            </w:pPr>
          </w:p>
        </w:tc>
        <w:tc>
          <w:tcPr>
            <w:tcW w:w="1140" w:type="dxa"/>
            <w:vAlign w:val="top"/>
          </w:tcPr>
          <w:p>
            <w:pPr>
              <w:spacing w:line="360" w:lineRule="auto"/>
              <w:jc w:val="center"/>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EO:9.2</w:t>
            </w:r>
          </w:p>
          <w:p>
            <w:pPr>
              <w:pStyle w:val="2"/>
              <w:spacing w:line="360" w:lineRule="auto"/>
              <w:ind w:left="0" w:leftChars="0" w:firstLine="0" w:firstLineChars="0"/>
              <w:jc w:val="center"/>
              <w:rPr>
                <w:rFonts w:hint="default" w:ascii="Times New Roman" w:hAnsi="Times New Roman" w:cs="Times New Roman"/>
                <w:lang w:val="en-US" w:eastAsia="zh-CN"/>
              </w:rPr>
            </w:pP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制定有《内部审核程序》，有效文件；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2021年3月29-30日，对各部门进行了内审，保留了内审计划、内审记录、不符合报告、内审报告；内审覆盖了管理体系范围内的活动及标准的要求；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本次内审开具不符合报告1份，涉及环境和职业健康安全的8.1条款，已整改，有整改验收记录；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内审结论为：三体系运行基本良好，运行达到一定的效果，基本符合标准的要求，但仍存在不足，各部门应举一反三，对类似问题予以整改。</w:t>
            </w:r>
          </w:p>
        </w:tc>
        <w:tc>
          <w:tcPr>
            <w:tcW w:w="1585" w:type="dxa"/>
            <w:vAlign w:val="top"/>
          </w:tcPr>
          <w:p>
            <w:pPr>
              <w:spacing w:line="360" w:lineRule="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80" w:type="dxa"/>
            <w:vAlign w:val="top"/>
          </w:tcPr>
          <w:p>
            <w:pPr>
              <w:spacing w:line="360" w:lineRule="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不合格和纠正措施</w:t>
            </w:r>
          </w:p>
        </w:tc>
        <w:tc>
          <w:tcPr>
            <w:tcW w:w="1140" w:type="dxa"/>
            <w:vAlign w:val="top"/>
          </w:tcPr>
          <w:p>
            <w:pPr>
              <w:spacing w:line="360" w:lineRule="auto"/>
              <w:jc w:val="center"/>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w:t>
            </w:r>
            <w:r>
              <w:rPr>
                <w:rFonts w:hint="default" w:ascii="Times New Roman" w:hAnsi="Times New Roman" w:cs="Times New Roman"/>
                <w:color w:val="auto"/>
                <w:spacing w:val="-6"/>
                <w:sz w:val="21"/>
                <w:szCs w:val="21"/>
                <w:lang w:val="en-US" w:eastAsia="zh-CN"/>
              </w:rPr>
              <w:t>10.2</w:t>
            </w:r>
          </w:p>
        </w:tc>
        <w:tc>
          <w:tcPr>
            <w:tcW w:w="10004" w:type="dxa"/>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 xml:space="preserve">公司建立“不符合、纠正和预防措施控制程序”、“事故调查处理控制程序”，有效文件，无变化。对纠正预防措施识别、评审、验证，事故事件报告、调查、处理等进行了策划。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对日常检查和内审、管理评审中提出的不合格项进行了原因分析，并策划纠正措施并实施，对所采取的纠正措施进行验证。</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体系运行以来公司按照体系的要求，通过运行控制、加强培训，以及开展管理评审活动等方式采取预防措施，防止不符合/不合格的发生，不符合得到了有效控制。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公司成立以来没有发生重大质量事故和投诉处罚，没有发生环境、职业健康安全事件和投诉处罚。</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基本符合标准规定要求。</w:t>
            </w:r>
          </w:p>
        </w:tc>
        <w:tc>
          <w:tcPr>
            <w:tcW w:w="1585" w:type="dxa"/>
            <w:vAlign w:val="top"/>
          </w:tcPr>
          <w:p>
            <w:pPr>
              <w:spacing w:line="360" w:lineRule="auto"/>
              <w:rPr>
                <w:rFonts w:hint="default" w:ascii="Times New Roman" w:hAnsi="Times New Roman" w:cs="Times New Roman"/>
                <w:color w:val="auto"/>
                <w:lang w:val="en-US" w:eastAsia="zh-CN"/>
              </w:rPr>
            </w:pPr>
          </w:p>
        </w:tc>
      </w:tr>
    </w:tbl>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B36DD"/>
    <w:rsid w:val="026F3E95"/>
    <w:rsid w:val="07912C58"/>
    <w:rsid w:val="09A502B0"/>
    <w:rsid w:val="09F44C6A"/>
    <w:rsid w:val="0A75738E"/>
    <w:rsid w:val="0B1F2093"/>
    <w:rsid w:val="0E253FB5"/>
    <w:rsid w:val="0E641652"/>
    <w:rsid w:val="0EF111B5"/>
    <w:rsid w:val="134B103A"/>
    <w:rsid w:val="1408781F"/>
    <w:rsid w:val="16803A30"/>
    <w:rsid w:val="18650A51"/>
    <w:rsid w:val="19E17E14"/>
    <w:rsid w:val="1C090DED"/>
    <w:rsid w:val="1CC62C73"/>
    <w:rsid w:val="1CC75CC6"/>
    <w:rsid w:val="1EA5525A"/>
    <w:rsid w:val="22424490"/>
    <w:rsid w:val="255F40BC"/>
    <w:rsid w:val="25CE1ED4"/>
    <w:rsid w:val="28372141"/>
    <w:rsid w:val="285D62E1"/>
    <w:rsid w:val="2A524930"/>
    <w:rsid w:val="2AFA7A0D"/>
    <w:rsid w:val="2B074CF7"/>
    <w:rsid w:val="2B3061A8"/>
    <w:rsid w:val="2D724F82"/>
    <w:rsid w:val="2FAC004D"/>
    <w:rsid w:val="30D639C8"/>
    <w:rsid w:val="327B5B2A"/>
    <w:rsid w:val="32F3584A"/>
    <w:rsid w:val="35EF23C6"/>
    <w:rsid w:val="37AB2DC7"/>
    <w:rsid w:val="3FB3442B"/>
    <w:rsid w:val="40470DBA"/>
    <w:rsid w:val="407C537B"/>
    <w:rsid w:val="41495ED3"/>
    <w:rsid w:val="44850B1F"/>
    <w:rsid w:val="4ACF0E85"/>
    <w:rsid w:val="4E41209B"/>
    <w:rsid w:val="4F90136B"/>
    <w:rsid w:val="50FE049C"/>
    <w:rsid w:val="51C36364"/>
    <w:rsid w:val="535D01D1"/>
    <w:rsid w:val="565706FD"/>
    <w:rsid w:val="5A5E1EE8"/>
    <w:rsid w:val="5ABE23A9"/>
    <w:rsid w:val="60900DD1"/>
    <w:rsid w:val="61BE4A1B"/>
    <w:rsid w:val="623B68EB"/>
    <w:rsid w:val="62525022"/>
    <w:rsid w:val="63483449"/>
    <w:rsid w:val="64647F70"/>
    <w:rsid w:val="65B5329B"/>
    <w:rsid w:val="65F814BB"/>
    <w:rsid w:val="68047E28"/>
    <w:rsid w:val="68DA78C4"/>
    <w:rsid w:val="6952544E"/>
    <w:rsid w:val="69F14B2A"/>
    <w:rsid w:val="6A1A3402"/>
    <w:rsid w:val="6B5655A8"/>
    <w:rsid w:val="6C7322D4"/>
    <w:rsid w:val="6D40452B"/>
    <w:rsid w:val="6D571263"/>
    <w:rsid w:val="6EBE7DAF"/>
    <w:rsid w:val="718D2DB5"/>
    <w:rsid w:val="728F3F70"/>
    <w:rsid w:val="74592DE0"/>
    <w:rsid w:val="784D0840"/>
    <w:rsid w:val="78A62DC2"/>
    <w:rsid w:val="79A374AF"/>
    <w:rsid w:val="7A7E6F3E"/>
    <w:rsid w:val="7BAB2316"/>
    <w:rsid w:val="7BFB58B8"/>
    <w:rsid w:val="7E6C106C"/>
    <w:rsid w:val="7E9F3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2021-07-14T08:24:21Z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