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江西好望投资咨询有限公司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GB/T19001-2016/ISO9001:2015</w:t>
            </w:r>
            <w:bookmarkEnd w:id="1"/>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0576-2021-Q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60" w:lineRule="auto"/>
              <w:ind w:firstLine="110" w:firstLineChars="50"/>
              <w:rPr>
                <w:sz w:val="22"/>
                <w:szCs w:val="22"/>
                <w:highlight w:val="none"/>
              </w:rPr>
            </w:pPr>
            <w:r>
              <w:rPr>
                <w:sz w:val="22"/>
                <w:szCs w:val="22"/>
                <w:highlight w:val="none"/>
              </w:rPr>
              <w:t>褚敏杰</w:t>
            </w:r>
          </w:p>
        </w:tc>
        <w:tc>
          <w:tcPr>
            <w:tcW w:w="1184" w:type="dxa"/>
            <w:vAlign w:val="center"/>
          </w:tcPr>
          <w:p>
            <w:pPr>
              <w:snapToGrid w:val="0"/>
              <w:spacing w:line="360" w:lineRule="auto"/>
              <w:ind w:left="572"/>
              <w:rPr>
                <w:sz w:val="22"/>
                <w:szCs w:val="22"/>
                <w:highlight w:val="none"/>
              </w:rPr>
            </w:pPr>
            <w:r>
              <w:rPr>
                <w:sz w:val="22"/>
                <w:szCs w:val="22"/>
                <w:highlight w:val="none"/>
              </w:rPr>
              <w:t>组长</w:t>
            </w:r>
          </w:p>
        </w:tc>
        <w:tc>
          <w:tcPr>
            <w:tcW w:w="5595" w:type="dxa"/>
            <w:gridSpan w:val="3"/>
            <w:vAlign w:val="center"/>
          </w:tcPr>
          <w:p>
            <w:pPr>
              <w:snapToGrid w:val="0"/>
              <w:spacing w:line="360" w:lineRule="auto"/>
              <w:ind w:left="1309"/>
              <w:rPr>
                <w:sz w:val="22"/>
                <w:szCs w:val="22"/>
                <w:highlight w:val="none"/>
              </w:rPr>
            </w:pPr>
            <w:r>
              <w:rPr>
                <w:sz w:val="22"/>
                <w:szCs w:val="22"/>
                <w:highlight w:val="none"/>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60" w:lineRule="auto"/>
              <w:ind w:firstLine="110" w:firstLineChars="50"/>
              <w:rPr>
                <w:sz w:val="22"/>
                <w:szCs w:val="22"/>
                <w:highlight w:val="none"/>
              </w:rPr>
            </w:pPr>
            <w:r>
              <w:rPr>
                <w:sz w:val="22"/>
                <w:szCs w:val="22"/>
                <w:highlight w:val="none"/>
              </w:rPr>
              <w:t>王悦</w:t>
            </w:r>
          </w:p>
        </w:tc>
        <w:tc>
          <w:tcPr>
            <w:tcW w:w="1184" w:type="dxa"/>
            <w:vAlign w:val="center"/>
          </w:tcPr>
          <w:p>
            <w:pPr>
              <w:snapToGrid w:val="0"/>
              <w:spacing w:line="360" w:lineRule="auto"/>
              <w:ind w:left="572"/>
              <w:rPr>
                <w:sz w:val="22"/>
                <w:szCs w:val="22"/>
                <w:highlight w:val="none"/>
              </w:rPr>
            </w:pPr>
            <w:r>
              <w:rPr>
                <w:sz w:val="22"/>
                <w:szCs w:val="22"/>
                <w:highlight w:val="none"/>
              </w:rPr>
              <w:t>组员</w:t>
            </w:r>
          </w:p>
        </w:tc>
        <w:tc>
          <w:tcPr>
            <w:tcW w:w="5595" w:type="dxa"/>
            <w:gridSpan w:val="3"/>
            <w:vAlign w:val="center"/>
          </w:tcPr>
          <w:p>
            <w:pPr>
              <w:snapToGrid w:val="0"/>
              <w:spacing w:line="360" w:lineRule="auto"/>
              <w:ind w:left="1309"/>
              <w:rPr>
                <w:sz w:val="22"/>
                <w:szCs w:val="22"/>
                <w:highlight w:val="none"/>
              </w:rPr>
            </w:pPr>
            <w:r>
              <w:rPr>
                <w:sz w:val="22"/>
                <w:szCs w:val="22"/>
                <w:highlight w:val="none"/>
              </w:rPr>
              <w:t>ISC-JSZJ-330</w:t>
            </w:r>
          </w:p>
          <w:p>
            <w:pPr>
              <w:snapToGrid w:val="0"/>
              <w:spacing w:line="360" w:lineRule="auto"/>
              <w:ind w:left="1309"/>
              <w:rPr>
                <w:sz w:val="22"/>
                <w:szCs w:val="22"/>
                <w:highlight w:val="none"/>
              </w:rPr>
            </w:pPr>
            <w:bookmarkStart w:id="4" w:name="_GoBack"/>
            <w:bookmarkEnd w:id="4"/>
            <w:r>
              <w:rPr>
                <w:sz w:val="22"/>
                <w:szCs w:val="22"/>
                <w:highlight w:val="none"/>
              </w:rPr>
              <w:t>江西合胜合招标咨询有限公司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2021.7.5-0.5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967" w:firstLineChars="438"/>
              <w:rPr>
                <w:rFonts w:hint="eastAsia"/>
                <w:b/>
                <w:sz w:val="22"/>
                <w:szCs w:val="22"/>
              </w:rPr>
            </w:pP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E71AE2"/>
    <w:rsid w:val="20C23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2021-07-07T03:13:28Z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