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400" w:firstLineChars="150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935"/>
        <w:gridCol w:w="1176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6" w:type="dxa"/>
            <w:vMerge w:val="restart"/>
            <w:noWrap w:val="0"/>
            <w:vAlign w:val="center"/>
          </w:tcPr>
          <w:p>
            <w:pPr>
              <w:spacing w:before="120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过程与活动、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抽样计划</w:t>
            </w:r>
          </w:p>
        </w:tc>
        <w:tc>
          <w:tcPr>
            <w:tcW w:w="935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涉及</w:t>
            </w:r>
          </w:p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条款</w:t>
            </w:r>
          </w:p>
        </w:tc>
        <w:tc>
          <w:tcPr>
            <w:tcW w:w="11767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受审核部门：财务部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主管领导/陪同人员： </w:t>
            </w:r>
            <w:r>
              <w:rPr>
                <w:rFonts w:hint="eastAsia" w:eastAsia="宋体"/>
                <w:b/>
                <w:bCs/>
                <w:color w:val="000000"/>
                <w:sz w:val="20"/>
                <w:lang w:eastAsia="zh-CN"/>
              </w:rPr>
              <w:t>詹洁部长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付成龙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1767" w:type="dxa"/>
            <w:noWrap w:val="0"/>
            <w:vAlign w:val="center"/>
          </w:tcPr>
          <w:p>
            <w:pPr>
              <w:spacing w:before="120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李凤仪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20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21.7.5</w:t>
            </w: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176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b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审核条款：</w:t>
            </w:r>
            <w:r>
              <w:rPr>
                <w:rFonts w:hint="eastAsia" w:ascii="宋体" w:hAnsi="宋体" w:eastAsia="宋体" w:cs="宋体"/>
                <w:b/>
                <w:w w:val="90"/>
                <w:szCs w:val="21"/>
              </w:rPr>
              <w:t xml:space="preserve">EO：5.3；6.2  8.1   </w:t>
            </w:r>
          </w:p>
        </w:tc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5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部门的岗位职责和权限</w:t>
            </w:r>
          </w:p>
          <w:p>
            <w:pPr>
              <w:spacing w:line="280" w:lineRule="exac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EO:5.3</w:t>
            </w:r>
          </w:p>
          <w:p>
            <w:pPr>
              <w:spacing w:line="280" w:lineRule="exac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1767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eastAsia="宋体"/>
                <w:b/>
                <w:bCs/>
                <w:color w:val="000000"/>
                <w:sz w:val="20"/>
                <w:lang w:eastAsia="zh-CN"/>
              </w:rPr>
              <w:t>詹洁部长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介绍财务部主要负责与环境和安全有关的成本控制。负责本部门的节能、减排、降耗工作，负责本部门员工的安全培训工作。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5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spacing w:line="400" w:lineRule="exact"/>
              <w:jc w:val="left"/>
              <w:textAlignment w:val="baseline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EO：6.2</w:t>
            </w:r>
          </w:p>
        </w:tc>
        <w:tc>
          <w:tcPr>
            <w:tcW w:w="11767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提供：质量、环境。职业健康安全目标展开表</w:t>
            </w:r>
          </w:p>
          <w:p>
            <w:pPr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环境管理目标、指标及管理方案 </w:t>
            </w:r>
          </w:p>
          <w:p>
            <w:pPr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职业健康安全管理目标、指标及管理方案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t>查到财务部QES目标</w:t>
            </w:r>
            <w:r>
              <w:rPr>
                <w:rFonts w:hint="eastAsia" w:ascii="宋体" w:hAnsi="宋体" w:eastAsia="宋体" w:cs="宋体"/>
                <w:szCs w:val="21"/>
              </w:rPr>
              <w:t>：环境、职业健康改善所需资金落实率100％、危险废弃物回收出汁率100％。火灾事故发生率为零、紧急事故处理率100％。20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1-6</w:t>
            </w:r>
            <w:r>
              <w:rPr>
                <w:rFonts w:hint="eastAsia" w:ascii="宋体" w:hAnsi="宋体" w:eastAsia="宋体" w:cs="宋体"/>
                <w:szCs w:val="21"/>
              </w:rPr>
              <w:t>月份部门指标统计结果已完成。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达到设定的目标值要求。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56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运行控制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spacing w:line="400" w:lineRule="exact"/>
              <w:jc w:val="left"/>
              <w:textAlignment w:val="baseline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EO：8.1</w:t>
            </w:r>
          </w:p>
          <w:p>
            <w:pPr>
              <w:tabs>
                <w:tab w:val="left" w:pos="5220"/>
              </w:tabs>
              <w:spacing w:line="400" w:lineRule="exact"/>
              <w:jc w:val="left"/>
              <w:textAlignment w:val="top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7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部门环境因素与危险源依据《环境因素识别评价程序》、《危险源辨识、风险评价和风险控制程序》识别并评价，日常工作中执行纸张双面打印，墨盒回收，人走灯灭，并对部门人员常宣传安全，做到节能、减排、降耗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在控制过程，考虑了顾客要求和相关法律法规要求。同时也考虑了组织的战略要求，包括利益相关方的相关要求，生命周期等，在废纸张处理、墨盒处理过程中均有体现。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部门重要环境因素与危险源有：火灾、水电的消耗、纸张的消耗、废墨盒打印机硒鼓等。</w:t>
            </w:r>
          </w:p>
          <w:p>
            <w:pPr>
              <w:spacing w:line="400" w:lineRule="exac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运行控制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观察，财务部与其他部门联合办公，办公区电气线路良好，未见破损、裸露和电气火灾隐患，使用了安全插座，电源走线在墙壁内，电源开关及用电设备、导线均良好，无触电及火灾隐患。办公楼内设有消防设施（消防栓）。设有应急标识、疏散指示标识等。用电方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面布线规范，并且在每日下班之前，由专人检查电器、火灾的隐患。审查中公司20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1-6月至今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在质量、环境、职业健康安全方面、为员工缴纳五险、体检等方面投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入近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577552.96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万元，为进入施工现场的管理人员和所有的施工人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3754755</wp:posOffset>
                  </wp:positionH>
                  <wp:positionV relativeFrom="paragraph">
                    <wp:posOffset>34925</wp:posOffset>
                  </wp:positionV>
                  <wp:extent cx="2023745" cy="1906905"/>
                  <wp:effectExtent l="0" t="0" r="14605" b="17145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90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员公司办理了意外伤害保险团体险，基本符合。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符合</w:t>
            </w:r>
          </w:p>
        </w:tc>
      </w:tr>
    </w:tbl>
    <w:p>
      <w:pPr>
        <w:pStyle w:val="2"/>
        <w:rPr>
          <w:rFonts w:hint="eastAsia"/>
          <w:color w:val="FF0000"/>
        </w:rPr>
      </w:pP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28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</w:rPr>
      <w:t>北京国标联合认证有限公司</w:t>
    </w:r>
    <w:r>
      <w:rPr>
        <w:rStyle w:val="7"/>
        <w:rFonts w:hint="default"/>
      </w:rPr>
      <w:tab/>
    </w:r>
    <w:r>
      <w:rPr>
        <w:rStyle w:val="7"/>
        <w:rFonts w:hint="default"/>
      </w:rPr>
      <w:tab/>
    </w:r>
    <w:r>
      <w:rPr>
        <w:rStyle w:val="7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Qaq5dYAAAAKAQAADwAAAAAAAAABACAAAAAiAAAA&#10;ZHJzL2Rvd25yZXYueG1sUEsBAhQAFAAAAAgAh07iQNGetFHQAQAAjgMAAA4AAAAAAAAAAQAgAAAA&#10;JQEAAGRycy9lMm9Eb2MueG1sUEsFBgAAAAAGAAYAWQEAAGcFAAAAAA==&#10;">
              <v:path/>
              <v:fill focussize="0,0"/>
              <v:stroke on="f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9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2021-07-11T09:44:27Z</dcterms:created>
  <dc:creator>thinkpad</dc:creator>
  <cp:lastModifiedBy>李凤仪</cp:lastModifiedBy>
  <dcterms:modified xsi:type="dcterms:W3CDTF">2021-07-11T09:45:29Z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17D3884BF21B4EAD8C98123D72DF5CE1</vt:lpwstr>
  </property>
</Properties>
</file>