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■QMS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bookmarkStart w:id="2" w:name="组织名称"/>
            <w:r>
              <w:rPr>
                <w:rFonts w:hint="default"/>
                <w:b/>
                <w:sz w:val="20"/>
                <w:szCs w:val="22"/>
              </w:rPr>
              <w:t>广西建邕工程有限公司</w:t>
            </w:r>
            <w:bookmarkEnd w:id="2"/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52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52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52" w:right="0"/>
              <w:jc w:val="center"/>
              <w:rPr>
                <w:rFonts w:hint="default"/>
                <w:b/>
                <w:sz w:val="20"/>
                <w:szCs w:val="22"/>
              </w:rPr>
            </w:pPr>
            <w:bookmarkStart w:id="3" w:name="专业代码"/>
            <w:r>
              <w:rPr>
                <w:rFonts w:hint="default"/>
                <w:b/>
                <w:sz w:val="20"/>
                <w:szCs w:val="22"/>
              </w:rPr>
              <w:t>EC：28.04.01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52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default"/>
                <w:b/>
                <w:sz w:val="20"/>
                <w:szCs w:val="22"/>
              </w:rPr>
              <w:t>E：28.04.01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52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default"/>
                <w:b/>
                <w:sz w:val="20"/>
                <w:szCs w:val="22"/>
              </w:rPr>
              <w:t>O：28.04.01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李凤仪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52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default"/>
                <w:b/>
                <w:sz w:val="20"/>
                <w:szCs w:val="22"/>
              </w:rPr>
              <w:t>EC：28.04.01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52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default"/>
                <w:b/>
                <w:sz w:val="20"/>
                <w:szCs w:val="22"/>
              </w:rPr>
              <w:t>E：28.04.01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default"/>
                <w:b/>
                <w:sz w:val="20"/>
                <w:szCs w:val="22"/>
              </w:rPr>
              <w:t>O：28.04.01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伍光华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生产工艺/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市政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施工</w:t>
            </w:r>
            <w:r>
              <w:rPr>
                <w:rFonts w:hint="eastAsia"/>
                <w:b/>
                <w:sz w:val="20"/>
                <w:szCs w:val="22"/>
              </w:rPr>
              <w:t>工程流程：签订合同—组建项目部—编制施工组织设计—组织施工—过程检验—分部分项验收—竣工验收—交付及交付后的活动。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生产过程/服务过程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的风险及控制措施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关键过程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szCs w:val="22"/>
              </w:rPr>
              <w:t>特殊过程</w:t>
            </w:r>
            <w:r>
              <w:rPr>
                <w:rFonts w:hint="default"/>
                <w:b/>
                <w:sz w:val="20"/>
                <w:szCs w:val="22"/>
              </w:rPr>
              <w:t>: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隐蔽工程、焊接过程</w:t>
            </w:r>
            <w:r>
              <w:rPr>
                <w:rFonts w:hint="eastAsia"/>
                <w:b/>
                <w:sz w:val="20"/>
                <w:szCs w:val="22"/>
              </w:rPr>
              <w:t>制定作业指导书及专项施工方案等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重要环境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  <w:szCs w:val="22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固废排放、粉尘排放、噪声排放、污水排放、火灾、植被破坏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等</w:t>
            </w:r>
            <w:r>
              <w:rPr>
                <w:rFonts w:hint="eastAsia"/>
                <w:b/>
                <w:sz w:val="20"/>
                <w:szCs w:val="22"/>
              </w:rPr>
              <w:t>项；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评价确定了重要环境因素和不可接受风险并进行了重点控制，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不可接受风险有：坍塌、高处坠落、起重伤害、物体打击、机械伤害、触电、中暑、火灾爆炸、交通事故、暴雨伤害等项，制定了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相</w:t>
            </w:r>
            <w:r>
              <w:rPr>
                <w:rFonts w:hint="eastAsia"/>
                <w:b/>
                <w:sz w:val="20"/>
                <w:szCs w:val="22"/>
              </w:rPr>
              <w:t>应的管理方案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  <w:b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/>
                <w:b w:val="0"/>
                <w:bCs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1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、中华人民共和国产品质量法2000/9/1 、2、中华人民共和国合同法1999/10/1、3、中华人民共和国消费者权益保护法2014/3/15、4、中华人民共和国标准化法2017/11/4、5、中华人民共和国计量法2017/12/27、6、中华人民共和国环境保护法2015/1/1、7、中华人民共和国水污染防治法2018/1/1、8、中华人民共和国环境噪声污染防治法1997/3/1、9、中华人民共和国固体废物污染环境防治法 2016/11/7….、GB 50300-2001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ab/>
            </w:r>
            <w:r>
              <w:rPr>
                <w:rFonts w:hint="eastAsia"/>
                <w:b w:val="0"/>
                <w:bCs/>
                <w:sz w:val="20"/>
                <w:szCs w:val="22"/>
              </w:rPr>
              <w:t>《建筑工程施工质量验收统一标准》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施工执行：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GB 50202-2018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ab/>
            </w:r>
            <w:r>
              <w:rPr>
                <w:rFonts w:hint="eastAsia"/>
                <w:b w:val="0"/>
                <w:bCs/>
                <w:sz w:val="21"/>
                <w:szCs w:val="21"/>
              </w:rPr>
              <w:t>《河道整治设计规范》（GB50707-2011）；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《城市防洪设计规范》（GB/T50805-2012）；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《室外排水设计规范》（GB50014-2006）(2016版)；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《室外给水设计规范》（GB50013-2006）；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《疏浚与吹填工程技术规范》（SL17-2014）；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《地下防水工程质量验收规范》（GB50208-2011）；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《钢筋焊接及验收规程》（JGJ18-2012）；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《防腐蚀工程施工操作规程》（YSJ411-89）；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《地基与基础工程施工操作规程》（YSJ402-89）；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《疏浚与吹填工程质量检验标准》(JTJ324-2006)；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《预制混凝土构件质量检验评定标准》（GBJ321-90）；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《建筑工程施工质量验收统一标准》 (GB50300-2013)；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《混凝土结构工程施工质量验收规范》 (GB50204-2015)；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《砌体工程施工质量验收规范》 (GB50203-2011)；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《建筑地基基础施工质量验收规范》(GB50202-2002)；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《建筑桩基技术规范》（JGJ94-2008）；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《给水排水管道工程施工及验收规范》(GB50268-2008)；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《水利水电工程施工组织设计规范》（SL303-2004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等法律法规。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第三方检查，出具检测报告及分部分项验收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竣工验收</w:t>
            </w:r>
            <w:r>
              <w:rPr>
                <w:rFonts w:hint="eastAsia"/>
                <w:b/>
                <w:sz w:val="20"/>
                <w:szCs w:val="22"/>
              </w:rPr>
              <w:t>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szCs w:val="22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4"/>
              <w:spacing w:line="300" w:lineRule="exact"/>
              <w:ind w:firstLine="480"/>
              <w:rPr>
                <w:rFonts w:hint="eastAsia" w:hAnsi="宋体" w:cs="楷体_GB2312"/>
                <w:sz w:val="21"/>
                <w:szCs w:val="21"/>
              </w:rPr>
            </w:pPr>
            <w:bookmarkStart w:id="4" w:name="_GoBack"/>
            <w:r>
              <w:rPr>
                <w:rFonts w:hint="eastAsia" w:hAnsi="宋体" w:cs="楷体_GB2312"/>
                <w:sz w:val="21"/>
                <w:szCs w:val="21"/>
              </w:rPr>
              <w:t>1、工程项目内容是否在企业资质范围内；</w:t>
            </w:r>
          </w:p>
          <w:p>
            <w:pPr>
              <w:pStyle w:val="4"/>
              <w:spacing w:line="300" w:lineRule="exact"/>
              <w:ind w:firstLine="480"/>
              <w:rPr>
                <w:rFonts w:hint="eastAsia" w:hAnsi="宋体" w:cs="楷体_GB2312"/>
                <w:sz w:val="21"/>
                <w:szCs w:val="21"/>
              </w:rPr>
            </w:pPr>
            <w:r>
              <w:rPr>
                <w:rFonts w:hint="eastAsia" w:hAnsi="宋体" w:cs="楷体_GB2312"/>
                <w:sz w:val="21"/>
                <w:szCs w:val="21"/>
              </w:rPr>
              <w:t>2、建设工程项目开工须获取建设单位提供的开工许可；</w:t>
            </w:r>
          </w:p>
          <w:p>
            <w:pPr>
              <w:pStyle w:val="4"/>
              <w:spacing w:line="300" w:lineRule="exact"/>
              <w:ind w:firstLine="420" w:firstLineChars="200"/>
              <w:rPr>
                <w:rFonts w:hint="eastAsia" w:hAnsi="宋体" w:cs="楷体_GB2312"/>
                <w:sz w:val="21"/>
                <w:szCs w:val="21"/>
              </w:rPr>
            </w:pPr>
            <w:r>
              <w:rPr>
                <w:rFonts w:hint="eastAsia" w:hAnsi="宋体" w:cs="楷体_GB2312"/>
                <w:sz w:val="21"/>
                <w:szCs w:val="21"/>
              </w:rPr>
              <w:t>3、工程使用的材料、设备需进场验收并记录；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 w:val="20"/>
                <w:szCs w:val="22"/>
              </w:rPr>
            </w:pPr>
            <w:r>
              <w:rPr>
                <w:rFonts w:hint="eastAsia" w:hAnsi="宋体" w:cs="楷体_GB2312"/>
                <w:sz w:val="21"/>
                <w:szCs w:val="21"/>
              </w:rPr>
              <w:t>4、</w:t>
            </w:r>
            <w:r>
              <w:rPr>
                <w:rFonts w:hint="eastAsia" w:hAnsi="宋体" w:cs="楷体_GB2312"/>
                <w:sz w:val="21"/>
                <w:szCs w:val="21"/>
                <w:lang w:val="en-GB"/>
              </w:rPr>
              <w:t>工程中的隐蔽工程部位应由业主或监理检查验收并记录</w:t>
            </w:r>
            <w:r>
              <w:rPr>
                <w:rFonts w:hint="eastAsia" w:hAnsi="宋体" w:cs="楷体_GB2312"/>
                <w:sz w:val="21"/>
                <w:szCs w:val="21"/>
              </w:rPr>
              <w:t>；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 </w:t>
            </w:r>
            <w:bookmarkEnd w:id="4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b w:val="0"/>
          <w:bCs w:val="0"/>
          <w:sz w:val="20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64770</wp:posOffset>
            </wp:positionV>
            <wp:extent cx="617855" cy="410845"/>
            <wp:effectExtent l="0" t="0" r="10795" b="8255"/>
            <wp:wrapNone/>
            <wp:docPr id="5" name="图片 10" descr="b469afa572757c580ba24d384ba9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b469afa572757c580ba24d384ba98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61785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b w:val="0"/>
          <w:bCs w:val="0"/>
          <w:sz w:val="20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34925</wp:posOffset>
            </wp:positionV>
            <wp:extent cx="617855" cy="410845"/>
            <wp:effectExtent l="0" t="0" r="10795" b="8255"/>
            <wp:wrapNone/>
            <wp:docPr id="6" name="图片 10" descr="b469afa572757c580ba24d384ba9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b469afa572757c580ba24d384ba98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61785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1197610</wp:posOffset>
            </wp:positionH>
            <wp:positionV relativeFrom="paragraph">
              <wp:posOffset>9204960</wp:posOffset>
            </wp:positionV>
            <wp:extent cx="551815" cy="293370"/>
            <wp:effectExtent l="0" t="0" r="635" b="11430"/>
            <wp:wrapNone/>
            <wp:docPr id="2" name="图片 3" descr="新文档 2019-04-09 16.49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新文档 2019-04-09 16.49.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18"/>
          <w:szCs w:val="18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2021年7月5日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r>
        <w:rPr>
          <w:rFonts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1197610</wp:posOffset>
            </wp:positionH>
            <wp:positionV relativeFrom="paragraph">
              <wp:posOffset>9204960</wp:posOffset>
            </wp:positionV>
            <wp:extent cx="551815" cy="293370"/>
            <wp:effectExtent l="0" t="0" r="635" b="11430"/>
            <wp:wrapNone/>
            <wp:docPr id="3" name="图片 3" descr="新文档 2019-04-09 16.49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19-04-09 16.49.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AFDA68"/>
    <w:multiLevelType w:val="multilevel"/>
    <w:tmpl w:val="AAAFDA68"/>
    <w:lvl w:ilvl="0" w:tentative="0">
      <w:start w:val="1"/>
      <w:numFmt w:val="decimal"/>
      <w:lvlText w:val="第%1章 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"/>
      <w:suff w:val="nothing"/>
      <w:lvlText w:val="%1.%2 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2" w:tentative="0">
      <w:start w:val="1"/>
      <w:numFmt w:val="decimal"/>
      <w:suff w:val="space"/>
      <w:lvlText w:val="%1.%2.%3 "/>
      <w:lvlJc w:val="left"/>
      <w:pPr>
        <w:tabs>
          <w:tab w:val="left" w:pos="420"/>
        </w:tabs>
        <w:ind w:left="425" w:leftChars="0" w:firstLine="0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420"/>
        </w:tabs>
        <w:ind w:left="425" w:leftChars="0" w:firstLine="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suff w:val="nothing"/>
      <w:lvlText w:val="%1.%2.%3.%4.%5"/>
      <w:lvlJc w:val="left"/>
      <w:pPr>
        <w:tabs>
          <w:tab w:val="left" w:pos="420"/>
        </w:tabs>
        <w:ind w:left="0" w:firstLine="425"/>
      </w:pPr>
      <w:rPr>
        <w:rFonts w:hint="default" w:ascii="宋体" w:hAnsi="宋体" w:eastAsia="宋体" w:cs="宋体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25"/>
      </w:pPr>
      <w:rPr>
        <w:rFonts w:hint="eastAsia" w:ascii="宋体" w:hAnsi="宋体" w:eastAsia="宋体" w:cs="宋体"/>
      </w:rPr>
    </w:lvl>
    <w:lvl w:ilvl="6" w:tentative="0">
      <w:start w:val="1"/>
      <w:numFmt w:val="decimal"/>
      <w:suff w:val="nothing"/>
      <w:lvlText w:val="%7）"/>
      <w:lvlJc w:val="left"/>
      <w:pPr>
        <w:ind w:left="0" w:firstLine="425"/>
      </w:pPr>
      <w:rPr>
        <w:rFonts w:hint="eastAsia" w:ascii="宋体" w:hAnsi="宋体" w:eastAsia="宋体" w:cs="宋体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ED03016"/>
    <w:rsid w:val="39312488"/>
    <w:rsid w:val="3BA2117D"/>
    <w:rsid w:val="4C875502"/>
    <w:rsid w:val="581E3CC0"/>
    <w:rsid w:val="74123F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numPr>
        <w:ilvl w:val="1"/>
        <w:numId w:val="1"/>
      </w:numPr>
      <w:adjustRightInd w:val="0"/>
      <w:spacing w:after="300"/>
      <w:ind w:firstLine="0" w:firstLineChars="0"/>
      <w:jc w:val="left"/>
      <w:outlineLvl w:val="1"/>
    </w:pPr>
    <w:rPr>
      <w:color w:val="00B05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/>
    </w:pPr>
  </w:style>
  <w:style w:type="paragraph" w:styleId="4">
    <w:name w:val="Plain Text"/>
    <w:basedOn w:val="1"/>
    <w:uiPriority w:val="0"/>
    <w:rPr>
      <w:rFonts w:ascii="宋体" w:hAnsi="Courier New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2021-07-07T15:18:32Z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A1FA4B4CDA0E47D2B4EF11B91D5958CA</vt:lpwstr>
  </property>
</Properties>
</file>