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重庆市沙坪坝区贝达机械厂</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0684-2021-Q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华文宋体" w:hAnsi="华文宋体" w:eastAsia="华文宋体"/>
                <w:szCs w:val="21"/>
              </w:rPr>
              <w:t>91500106742892167F</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sym w:font="Wingdings 2" w:char="0052"/>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41</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bookmarkStart w:id="2" w:name="_GoBack"/>
            <w:bookmarkEnd w:id="2"/>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707392" behindDoc="0" locked="0" layoutInCell="1" allowOverlap="1">
                  <wp:simplePos x="0" y="0"/>
                  <wp:positionH relativeFrom="column">
                    <wp:posOffset>3976370</wp:posOffset>
                  </wp:positionH>
                  <wp:positionV relativeFrom="paragraph">
                    <wp:posOffset>32385</wp:posOffset>
                  </wp:positionV>
                  <wp:extent cx="422910" cy="320040"/>
                  <wp:effectExtent l="0" t="0" r="8890" b="1016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5"/>
                          <a:stretch>
                            <a:fillRect/>
                          </a:stretch>
                        </pic:blipFill>
                        <pic:spPr>
                          <a:xfrm>
                            <a:off x="0" y="0"/>
                            <a:ext cx="422910" cy="32004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日期：2021年07月04日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日期：2021年07月04日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690E20"/>
    <w:rsid w:val="748D1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2021-07-06T07:54:33Z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