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雅安市鑫旺水泥制品有限公司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刘本胜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="楷体" w:hAnsi="楷体" w:eastAsia="楷体"/>
                <w:b w:val="0"/>
                <w:bCs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</w:rPr>
              <w:t>）水泥电杆：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水泥沙石配比--加水搅拌</w:t>
            </w:r>
            <w:r>
              <w:rPr>
                <w:rFonts w:ascii="楷体" w:hAnsi="楷体" w:eastAsia="楷体"/>
                <w:b w:val="0"/>
                <w:bCs/>
                <w:sz w:val="24"/>
                <w:szCs w:val="24"/>
              </w:rPr>
              <w:t>—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钢骨架制作--</w:t>
            </w:r>
            <w:r>
              <w:rPr>
                <w:rFonts w:ascii="楷体" w:hAnsi="楷体" w:eastAsia="楷体"/>
                <w:b w:val="0"/>
                <w:bCs/>
                <w:sz w:val="24"/>
                <w:szCs w:val="24"/>
              </w:rPr>
              <w:t>离心浇铸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--装模张拉--蒸养--脱模--检验--入库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</w:rPr>
              <w:t>）水泥三盘、盖板：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水泥沙石配比--加水搅拌</w:t>
            </w:r>
            <w:r>
              <w:rPr>
                <w:rFonts w:ascii="楷体" w:hAnsi="楷体" w:eastAsia="楷体"/>
                <w:b w:val="0"/>
                <w:bCs/>
                <w:sz w:val="24"/>
                <w:szCs w:val="24"/>
              </w:rPr>
              <w:t>—模具安装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--</w:t>
            </w:r>
            <w:r>
              <w:rPr>
                <w:rFonts w:ascii="楷体" w:hAnsi="楷体" w:eastAsia="楷体"/>
                <w:b w:val="0"/>
                <w:bCs/>
                <w:sz w:val="24"/>
                <w:szCs w:val="24"/>
              </w:rPr>
              <w:t>浇铸—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养护--脱模--检验--入库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离心浇铸、蒸养过程失控，造成产品质量问题，控制措施：对离心浇铸过程进行确认（包含：设备确认、人员确认、作业指导书、首件检验、确认等），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报价不合理：造成企业损失，控制措施：进行合同评审，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原材料不合格：造成产品质量问题，控制措施：供方评价，原材料进场检验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both"/>
              <w:rPr>
                <w:rFonts w:hint="eastAsia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关键过程：原材料检验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、钢筋笼制作、离心浇铸、蒸养、检验，</w:t>
            </w:r>
            <w:bookmarkStart w:id="9" w:name="_GoBack"/>
            <w:bookmarkEnd w:id="9"/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需确认过程：离心浇铸，见1条款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GB4623-2014《环形混凝土电杆》、GB50204</w:t>
            </w:r>
            <w:r>
              <w:rPr>
                <w:rFonts w:ascii="楷体" w:hAnsi="楷体" w:eastAsia="楷体"/>
                <w:b w:val="0"/>
                <w:bCs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2015《混泥土工程施工质量验收规范》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有型式试验要求，检验项目见企业提供的检验报告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12C42"/>
    <w:multiLevelType w:val="singleLevel"/>
    <w:tmpl w:val="93C12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530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2021-08-28T22:37:14Z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