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bidi w:val="0"/>
        <w:ind w:right="401" w:rightChars="191"/>
        <w:jc w:val="left"/>
        <w:rPr>
          <w:rFonts w:hint="eastAsia"/>
          <w:b/>
          <w:bCs/>
          <w:szCs w:val="44"/>
          <w:u w:val="none"/>
        </w:rPr>
      </w:pPr>
      <w:r>
        <w:rPr>
          <w:rFonts w:hint="eastAsia" w:ascii="宋体" w:hAnsi="宋体"/>
          <w:b/>
          <w:bCs/>
          <w:sz w:val="18"/>
          <w:u w:val="none"/>
        </w:rPr>
        <w:t>编  号：</w:t>
      </w:r>
      <w:r>
        <w:rPr>
          <w:b/>
          <w:bCs/>
          <w:szCs w:val="44"/>
          <w:u w:val="none"/>
        </w:rPr>
        <w:t xml:space="preserve"> </w:t>
      </w:r>
      <w:bookmarkStart w:id="0" w:name="合同编号"/>
      <w:r>
        <w:rPr>
          <w:rFonts w:hint="eastAsia"/>
          <w:b/>
          <w:bCs/>
          <w:szCs w:val="44"/>
          <w:u w:val="none"/>
        </w:rPr>
        <w:t>0687-2021-QEO</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四川苏鲁锭科技有限公司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Q:29.11.05,34.06.00</w:t>
            </w:r>
          </w:p>
          <w:p>
            <w:pPr>
              <w:spacing w:line="240" w:lineRule="exact"/>
              <w:jc w:val="center"/>
              <w:rPr>
                <w:b/>
                <w:color w:val="000000" w:themeColor="text1"/>
                <w:sz w:val="20"/>
                <w:szCs w:val="20"/>
              </w:rPr>
            </w:pPr>
            <w:r>
              <w:rPr>
                <w:b/>
                <w:color w:val="000000" w:themeColor="text1"/>
                <w:sz w:val="20"/>
                <w:szCs w:val="20"/>
              </w:rPr>
              <w:t>E:29.11.05,34.06.00</w:t>
            </w:r>
          </w:p>
          <w:p>
            <w:pPr>
              <w:spacing w:line="240" w:lineRule="exact"/>
              <w:jc w:val="center"/>
              <w:rPr>
                <w:b/>
                <w:color w:val="000000" w:themeColor="text1"/>
                <w:sz w:val="20"/>
                <w:szCs w:val="20"/>
              </w:rPr>
            </w:pPr>
            <w:r>
              <w:rPr>
                <w:b/>
                <w:color w:val="000000" w:themeColor="text1"/>
                <w:sz w:val="20"/>
                <w:szCs w:val="20"/>
              </w:rPr>
              <w:t>O:29.11.05,34.06.00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Q:34.06.00</w:t>
            </w:r>
          </w:p>
          <w:p>
            <w:pPr>
              <w:spacing w:line="240" w:lineRule="exact"/>
              <w:jc w:val="center"/>
              <w:rPr>
                <w:b/>
                <w:color w:val="000000" w:themeColor="text1"/>
                <w:sz w:val="20"/>
                <w:szCs w:val="20"/>
              </w:rPr>
            </w:pPr>
            <w:r>
              <w:rPr>
                <w:b/>
                <w:color w:val="000000" w:themeColor="text1"/>
                <w:sz w:val="20"/>
                <w:szCs w:val="20"/>
              </w:rPr>
              <w:t>E:34.06.00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黑体" w:hAnsi="黑体" w:eastAsia="黑体" w:cs="黑体"/>
                <w:color w:val="000000" w:themeColor="text1"/>
                <w:kern w:val="0"/>
                <w:sz w:val="20"/>
                <w:szCs w:val="20"/>
              </w:rPr>
              <w:t>■</w:t>
            </w:r>
            <w:r>
              <w:rPr>
                <w:rFonts w:ascii="宋体" w:cs="宋体" w:hAnsiTheme="minorHAnsi"/>
                <w:color w:val="000000" w:themeColor="text1"/>
                <w:kern w:val="0"/>
                <w:sz w:val="20"/>
                <w:szCs w:val="20"/>
              </w:rPr>
              <w:t>QMS/</w:t>
            </w:r>
            <w:r>
              <w:rPr>
                <w:rFonts w:hint="eastAsia" w:ascii="黑体" w:hAnsi="黑体" w:eastAsia="黑体" w:cs="黑体"/>
                <w:color w:val="000000" w:themeColor="text1"/>
                <w:kern w:val="0"/>
                <w:sz w:val="20"/>
                <w:szCs w:val="20"/>
              </w:rPr>
              <w:t>■</w:t>
            </w:r>
            <w:r>
              <w:rPr>
                <w:rFonts w:ascii="宋体" w:cs="宋体" w:hAnsiTheme="minorHAnsi"/>
                <w:color w:val="000000" w:themeColor="text1"/>
                <w:kern w:val="0"/>
                <w:sz w:val="20"/>
                <w:szCs w:val="20"/>
              </w:rPr>
              <w:t>EMS/</w:t>
            </w:r>
            <w:r>
              <w:rPr>
                <w:rFonts w:hint="eastAsia" w:ascii="黑体" w:hAnsi="黑体" w:eastAsia="黑体" w:cs="黑体"/>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四川苏鲁锭科技有限公司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成都市新都区新都大道8号西南石油大学科技园大厦404</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成都市新都区新都大道8号西南石油大学科技园大厦404</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陈红伟</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13541285399</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崔军波</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陈红伟</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陈红伟</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Q：污水处理技术服务，专用化学产品销售（不含危险化学品）</w:t>
            </w:r>
          </w:p>
          <w:p>
            <w:pPr>
              <w:spacing w:line="320" w:lineRule="exact"/>
              <w:rPr>
                <w:rFonts w:ascii="宋体" w:hAnsi="宋体"/>
                <w:b/>
                <w:color w:val="000000" w:themeColor="text1"/>
                <w:sz w:val="20"/>
                <w:szCs w:val="20"/>
              </w:rPr>
            </w:pPr>
            <w:r>
              <w:rPr>
                <w:rFonts w:ascii="宋体" w:hAnsi="宋体"/>
                <w:b/>
                <w:color w:val="000000" w:themeColor="text1"/>
                <w:sz w:val="20"/>
                <w:szCs w:val="20"/>
              </w:rPr>
              <w:t>E：污水处理技术服务，专用化学产品销售（不含危险化学品）所涉及场所的相关环境管理活动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O：污水处理技术服务，专用化学产品销售（不含危险化学品）所涉及场所的相关职业健康安全管理活动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Q：29.11.05;34.06.00</w:t>
            </w:r>
          </w:p>
          <w:p>
            <w:pPr>
              <w:spacing w:line="320" w:lineRule="exact"/>
              <w:rPr>
                <w:rFonts w:ascii="宋体" w:hAnsi="宋体"/>
                <w:b/>
                <w:color w:val="000000" w:themeColor="text1"/>
                <w:sz w:val="20"/>
                <w:szCs w:val="20"/>
              </w:rPr>
            </w:pPr>
            <w:r>
              <w:rPr>
                <w:rFonts w:ascii="宋体" w:hAnsi="宋体"/>
                <w:b/>
                <w:color w:val="000000" w:themeColor="text1"/>
                <w:sz w:val="20"/>
                <w:szCs w:val="20"/>
              </w:rPr>
              <w:t>E：29.11.05;34.06.00</w:t>
            </w:r>
          </w:p>
          <w:p>
            <w:pPr>
              <w:spacing w:line="320" w:lineRule="exact"/>
              <w:rPr>
                <w:rFonts w:ascii="宋体" w:hAnsi="宋体"/>
                <w:b/>
                <w:color w:val="000000" w:themeColor="text1"/>
                <w:sz w:val="20"/>
                <w:szCs w:val="20"/>
              </w:rPr>
            </w:pPr>
            <w:r>
              <w:rPr>
                <w:rFonts w:ascii="宋体" w:hAnsi="宋体"/>
                <w:b/>
                <w:color w:val="000000" w:themeColor="text1"/>
                <w:sz w:val="20"/>
                <w:szCs w:val="20"/>
              </w:rPr>
              <w:t>O：29.11.05;34.06.00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黑体" w:hAnsi="黑体" w:eastAsia="黑体" w:cs="黑体"/>
                <w:color w:val="000000" w:themeColor="text1"/>
                <w:kern w:val="0"/>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2021-01-08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综合部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方针、目标管理；文件、记录控制程；管理评审；内审管理；人员、部门职能职责和权限；风险识别评价管理；采购管理；合同管理；供方管理；环境因素识别评价管理。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技术部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新都区军屯镇曾府酒厂</w:t>
            </w:r>
          </w:p>
        </w:tc>
        <w:tc>
          <w:tcPr>
            <w:tcW w:w="3249" w:type="dxa"/>
          </w:tcPr>
          <w:p>
            <w:pPr>
              <w:jc w:val="center"/>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pacing w:val="-20"/>
                <w:sz w:val="20"/>
                <w:szCs w:val="20"/>
                <w:u w:val="single"/>
                <w:lang w:eastAsia="zh-CN"/>
              </w:rPr>
              <w:t>污水处理技术服务</w:t>
            </w:r>
          </w:p>
        </w:tc>
        <w:tc>
          <w:tcPr>
            <w:tcW w:w="3555" w:type="dxa"/>
          </w:tcPr>
          <w:p>
            <w:pPr>
              <w:jc w:val="center"/>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pacing w:val="-20"/>
                <w:sz w:val="20"/>
                <w:szCs w:val="20"/>
                <w:u w:val="single"/>
                <w:lang w:eastAsia="zh-CN"/>
              </w:rPr>
              <w:t>新都区军屯镇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highlight w:val="yellow"/>
              </w:rPr>
            </w:pPr>
            <w:r>
              <w:rPr>
                <w:rFonts w:hint="eastAsia"/>
                <w:b/>
                <w:color w:val="000000" w:themeColor="text1"/>
                <w:sz w:val="20"/>
                <w:szCs w:val="20"/>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污水处理技术服务，专用化学产品销售（不含危险化学品）</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eastAsia" w:ascii="宋体" w:hAnsi="宋体"/>
                <w:szCs w:val="21"/>
              </w:rPr>
            </w:pPr>
            <w:r>
              <w:rPr>
                <w:rFonts w:hint="eastAsia" w:ascii="宋体" w:hAnsi="宋体" w:eastAsia="宋体" w:cs="Times New Roman"/>
                <w:szCs w:val="21"/>
                <w:lang w:val="en-US" w:eastAsia="zh-CN"/>
              </w:rPr>
              <w:t>SY/T5391994碎屑岩油藏注水水质指标及分析方法</w:t>
            </w:r>
            <w:r>
              <w:rPr>
                <w:rFonts w:hint="eastAsia" w:ascii="宋体" w:hAnsi="宋体" w:eastAsia="宋体" w:cs="Times New Roman"/>
                <w:szCs w:val="21"/>
                <w:lang w:eastAsia="zh-CN"/>
              </w:rPr>
              <w:t>等</w:t>
            </w:r>
            <w:r>
              <w:rPr>
                <w:rFonts w:hint="eastAsia" w:ascii="宋体" w:hAnsi="宋体" w:eastAsia="宋体" w:cs="Times New Roman"/>
                <w:szCs w:val="21"/>
              </w:rPr>
              <w:t>标</w:t>
            </w:r>
            <w:r>
              <w:rPr>
                <w:rFonts w:hint="eastAsia" w:ascii="宋体" w:hAnsi="宋体"/>
                <w:szCs w:val="21"/>
              </w:rPr>
              <w:t>准和客户要求。</w:t>
            </w:r>
          </w:p>
          <w:p>
            <w:pPr>
              <w:rPr>
                <w:b/>
                <w:color w:val="000000" w:themeColor="text1"/>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ascii="黑体" w:hAnsi="黑体" w:eastAsia="黑体" w:cs="黑体"/>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8</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ascii="黑体" w:hAnsi="黑体" w:eastAsia="黑体" w:cs="黑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ascii="宋体" w:hAnsi="宋体" w:cs="Times New Roman"/>
                <w:szCs w:val="21"/>
                <w:lang w:eastAsia="zh-CN"/>
              </w:rPr>
            </w:pPr>
            <w:r>
              <w:rPr>
                <w:rFonts w:hint="eastAsia" w:ascii="宋体" w:hAnsi="宋体" w:cs="Times New Roman"/>
                <w:szCs w:val="21"/>
                <w:lang w:eastAsia="zh-CN"/>
              </w:rPr>
              <w:t>四川苏鲁锭科技有限公司，依托国家重点实验室及多个高校，以客户为导向、技术为核心、服务为基石飞速成长为西南石油大学科技园重点扶持企业。</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Q8.3</w:t>
            </w:r>
            <w:r>
              <w:rPr>
                <w:rFonts w:hint="eastAsia" w:ascii="宋体" w:hAnsi="宋体"/>
                <w:color w:val="000000" w:themeColor="text1"/>
              </w:rPr>
              <w:t>条款不适用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b/>
                <w:color w:val="000000" w:themeColor="text1"/>
                <w:sz w:val="20"/>
                <w:szCs w:val="20"/>
                <w:lang w:val="en-US" w:eastAsia="zh-CN"/>
              </w:rPr>
            </w:pPr>
            <w:r>
              <w:rPr>
                <w:b/>
                <w:color w:val="000000" w:themeColor="text1"/>
                <w:sz w:val="20"/>
                <w:szCs w:val="20"/>
              </w:rPr>
              <w:t>2、</w:t>
            </w:r>
            <w:r>
              <w:rPr>
                <w:rFonts w:hint="eastAsia"/>
                <w:b/>
                <w:color w:val="000000" w:themeColor="text1"/>
                <w:sz w:val="20"/>
                <w:szCs w:val="20"/>
              </w:rPr>
              <w:t>相关方需求和期望识别情况</w:t>
            </w:r>
            <w:r>
              <w:rPr>
                <w:rFonts w:hint="eastAsia"/>
                <w:b/>
                <w:color w:val="000000" w:themeColor="text1"/>
                <w:sz w:val="20"/>
                <w:szCs w:val="20"/>
                <w:lang w:val="en-US" w:eastAsia="zh-CN"/>
              </w:rPr>
              <w:t xml:space="preserve"> </w:t>
            </w:r>
          </w:p>
          <w:p>
            <w:pPr>
              <w:spacing w:line="240" w:lineRule="exact"/>
              <w:rPr>
                <w:rFonts w:hint="eastAsia" w:eastAsia="宋体"/>
                <w:b/>
                <w:color w:val="000000" w:themeColor="text1"/>
                <w:sz w:val="20"/>
                <w:szCs w:val="20"/>
                <w:lang w:val="en-US" w:eastAsia="zh-CN"/>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黑体" w:hAnsi="黑体" w:eastAsia="黑体" w:cs="黑体"/>
                <w:b/>
                <w:color w:val="000000" w:themeColor="text1"/>
                <w:spacing w:val="-10"/>
                <w:sz w:val="20"/>
                <w:szCs w:val="20"/>
              </w:rPr>
              <w:t>■</w:t>
            </w:r>
            <w:r>
              <w:rPr>
                <w:rFonts w:hint="eastAsia" w:ascii="宋体" w:hAnsi="宋体"/>
                <w:b/>
                <w:color w:val="000000" w:themeColor="text1"/>
                <w:sz w:val="20"/>
                <w:szCs w:val="20"/>
              </w:rPr>
              <w:t>质量/</w:t>
            </w:r>
            <w:r>
              <w:rPr>
                <w:rFonts w:hint="eastAsia" w:ascii="黑体" w:hAnsi="黑体" w:eastAsia="黑体" w:cs="黑体"/>
                <w:b/>
                <w:color w:val="000000" w:themeColor="text1"/>
                <w:spacing w:val="-10"/>
                <w:sz w:val="20"/>
                <w:szCs w:val="20"/>
              </w:rPr>
              <w:t>■</w:t>
            </w:r>
            <w:r>
              <w:rPr>
                <w:rFonts w:hint="eastAsia" w:ascii="宋体" w:hAnsi="宋体"/>
                <w:b/>
                <w:color w:val="000000" w:themeColor="text1"/>
                <w:sz w:val="20"/>
                <w:szCs w:val="20"/>
              </w:rPr>
              <w:t>环境/</w:t>
            </w:r>
            <w:r>
              <w:rPr>
                <w:rFonts w:hint="eastAsia" w:ascii="黑体" w:hAnsi="黑体" w:eastAsia="黑体" w:cs="黑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rPr>
                <w:rFonts w:hint="eastAsia" w:ascii="宋体" w:hAnsi="宋体" w:eastAsia="宋体" w:cs="宋体"/>
                <w:color w:val="000000"/>
                <w:szCs w:val="21"/>
              </w:rPr>
            </w:pPr>
            <w:r>
              <w:rPr>
                <w:rFonts w:hint="eastAsia" w:ascii="宋体" w:hAnsi="宋体" w:eastAsia="宋体" w:cs="宋体"/>
                <w:color w:val="000000"/>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276" w:lineRule="auto"/>
              <w:rPr>
                <w:rFonts w:hint="eastAsia" w:ascii="宋体" w:hAnsi="宋体" w:eastAsia="宋体" w:cs="宋体"/>
                <w:color w:val="000000"/>
                <w:szCs w:val="21"/>
              </w:rPr>
            </w:pPr>
            <w:r>
              <w:rPr>
                <w:rFonts w:hint="eastAsia" w:ascii="宋体" w:hAnsi="宋体" w:cs="宋体"/>
                <w:szCs w:val="21"/>
              </w:rPr>
              <w:t>质量、环境和职业健康安全方针：</w:t>
            </w:r>
          </w:p>
          <w:p>
            <w:pPr>
              <w:spacing w:line="240" w:lineRule="exact"/>
              <w:rPr>
                <w:rFonts w:hint="eastAsia" w:ascii="宋体" w:hAnsi="宋体" w:cs="宋体"/>
                <w:szCs w:val="21"/>
              </w:rPr>
            </w:pPr>
            <w:r>
              <w:rPr>
                <w:rFonts w:hint="eastAsia" w:ascii="宋体" w:hAnsi="宋体" w:cs="宋体"/>
                <w:szCs w:val="21"/>
              </w:rPr>
              <w:t xml:space="preserve"> 市场第一、顾客满意</w:t>
            </w:r>
          </w:p>
          <w:p>
            <w:pPr>
              <w:spacing w:line="240" w:lineRule="exact"/>
              <w:rPr>
                <w:rFonts w:hint="eastAsia" w:ascii="宋体" w:hAnsi="宋体" w:cs="宋体"/>
                <w:szCs w:val="21"/>
              </w:rPr>
            </w:pPr>
            <w:r>
              <w:rPr>
                <w:rFonts w:hint="eastAsia" w:ascii="宋体" w:hAnsi="宋体" w:cs="宋体"/>
                <w:szCs w:val="21"/>
              </w:rPr>
              <w:t>保护环境、预防为主 </w:t>
            </w:r>
          </w:p>
          <w:p>
            <w:pPr>
              <w:spacing w:line="240" w:lineRule="exact"/>
              <w:rPr>
                <w:b/>
                <w:color w:val="000000" w:themeColor="text1"/>
              </w:rPr>
            </w:pPr>
            <w:r>
              <w:rPr>
                <w:rFonts w:hint="eastAsia" w:ascii="宋体" w:hAnsi="宋体" w:cs="宋体"/>
                <w:szCs w:val="21"/>
              </w:rPr>
              <w:t>全员安全、持续改进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b/>
                <w:color w:val="000000" w:themeColor="text1"/>
              </w:rPr>
            </w:pPr>
            <w:r>
              <w:rPr>
                <w:b/>
                <w:color w:val="000000" w:themeColor="text1"/>
              </w:rPr>
              <w:t>4、</w:t>
            </w:r>
            <w:r>
              <w:rPr>
                <w:rFonts w:hint="eastAsia"/>
                <w:b/>
                <w:color w:val="000000" w:themeColor="text1"/>
              </w:rPr>
              <w:t>风险识别与控制策划（QMS）</w:t>
            </w:r>
          </w:p>
          <w:p>
            <w:pPr>
              <w:spacing w:line="240" w:lineRule="exact"/>
              <w:rPr>
                <w:b/>
                <w:color w:val="000000" w:themeColor="text1"/>
              </w:rPr>
            </w:pPr>
            <w:r>
              <w:rPr>
                <w:rFonts w:hint="eastAsia" w:ascii="宋体" w:hAnsi="宋体"/>
                <w:color w:val="000000" w:themeColor="text1"/>
              </w:rPr>
              <w:t>制定并实施了相关程序和安全管理制度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w:t>
            </w:r>
            <w:r>
              <w:rPr>
                <w:rFonts w:hint="eastAsia" w:ascii="宋体" w:hAnsi="宋体"/>
                <w:b/>
                <w:color w:val="000000" w:themeColor="text1"/>
                <w:sz w:val="20"/>
                <w:szCs w:val="20"/>
                <w:lang w:eastAsia="zh-CN"/>
              </w:rPr>
              <w:t>技术服务</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lang w:eastAsia="zh-CN"/>
              </w:rPr>
              <w:t>销售服务过程、技术服务过程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lang w:eastAsia="zh-CN"/>
              </w:rPr>
              <w:t>销售服务过程、技术服务过程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Q8.3</w:t>
            </w:r>
            <w:r>
              <w:rPr>
                <w:rFonts w:hint="eastAsia" w:ascii="宋体" w:hAnsi="宋体"/>
                <w:b/>
                <w:color w:val="000000" w:themeColor="text1"/>
                <w:sz w:val="20"/>
                <w:szCs w:val="20"/>
              </w:rPr>
              <w:t xml:space="preserve">  ，不适用理由：</w:t>
            </w:r>
            <w:r>
              <w:rPr>
                <w:rFonts w:hint="eastAsia" w:ascii="宋体" w:hAnsi="宋体"/>
                <w:b/>
                <w:color w:val="000000" w:themeColor="text1"/>
                <w:sz w:val="20"/>
                <w:szCs w:val="20"/>
                <w:u w:val="single"/>
              </w:rPr>
              <w:t>本公司主要依据客户项目实际情况的技术要求，实施技术服务，以往所提供的服务已经得到客户认可。服务过程较简单，未涉及设计开发过程。</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b/>
                <w:color w:val="000000" w:themeColor="text1"/>
                <w:sz w:val="20"/>
                <w:szCs w:val="20"/>
              </w:rPr>
            </w:pPr>
            <w:r>
              <w:rPr>
                <w:rFonts w:hint="eastAsia" w:ascii="宋体" w:hAnsi="宋体"/>
                <w:color w:val="000000" w:themeColor="text1"/>
              </w:rPr>
              <w:t>组织建立了危险源识别、评价控制程序，识别评价了危险源、风险相关的过程，评价出了重要危险源，与之相关的过程有</w:t>
            </w:r>
            <w:r>
              <w:rPr>
                <w:rFonts w:hint="eastAsia" w:ascii="宋体" w:hAnsi="宋体"/>
                <w:color w:val="000000" w:themeColor="text1"/>
                <w:lang w:eastAsia="zh-CN"/>
              </w:rPr>
              <w:t>销售及技术服务</w:t>
            </w:r>
            <w:r>
              <w:rPr>
                <w:rFonts w:hint="eastAsia" w:ascii="宋体" w:hAnsi="宋体"/>
                <w:color w:val="000000" w:themeColor="text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黑体" w:hAnsi="黑体" w:eastAsia="黑体" w:cs="黑体"/>
                <w:b/>
                <w:color w:val="000000" w:themeColor="text1"/>
                <w:szCs w:val="21"/>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黑体" w:hAnsi="黑体" w:eastAsia="黑体" w:cs="黑体"/>
                <w:b/>
                <w:color w:val="000000" w:themeColor="text1"/>
                <w:szCs w:val="21"/>
              </w:rPr>
              <w:t>■</w:t>
            </w:r>
            <w:r>
              <w:rPr>
                <w:rFonts w:hint="eastAsia" w:ascii="宋体" w:hAnsi="宋体"/>
                <w:b/>
                <w:color w:val="000000" w:themeColor="text1"/>
                <w:szCs w:val="21"/>
              </w:rPr>
              <w:t>产品/服务</w:t>
            </w:r>
            <w:r>
              <w:rPr>
                <w:rFonts w:hint="eastAsia" w:ascii="黑体" w:hAnsi="黑体" w:eastAsia="黑体" w:cs="黑体"/>
                <w:b/>
                <w:color w:val="000000" w:themeColor="text1"/>
                <w:szCs w:val="21"/>
              </w:rPr>
              <w:t>■</w:t>
            </w:r>
            <w:r>
              <w:rPr>
                <w:rFonts w:hint="eastAsia" w:ascii="宋体" w:hAnsi="宋体"/>
                <w:b/>
                <w:color w:val="000000" w:themeColor="text1"/>
                <w:szCs w:val="21"/>
              </w:rPr>
              <w:t>环境因素</w:t>
            </w:r>
            <w:r>
              <w:rPr>
                <w:rFonts w:hint="eastAsia" w:ascii="黑体" w:hAnsi="黑体" w:eastAsia="黑体" w:cs="黑体"/>
                <w:b/>
                <w:color w:val="000000" w:themeColor="text1"/>
                <w:szCs w:val="21"/>
              </w:rPr>
              <w:t>■</w:t>
            </w:r>
            <w:r>
              <w:rPr>
                <w:rFonts w:hint="eastAsia" w:ascii="宋体" w:hAnsi="宋体"/>
                <w:b/>
                <w:color w:val="000000" w:themeColor="text1"/>
                <w:szCs w:val="21"/>
              </w:rPr>
              <w:t>危险源，</w:t>
            </w:r>
            <w:r>
              <w:rPr>
                <w:rFonts w:hint="eastAsia" w:ascii="黑体" w:hAnsi="黑体" w:eastAsia="黑体" w:cs="黑体"/>
                <w:b/>
                <w:color w:val="000000" w:themeColor="text1"/>
                <w:szCs w:val="21"/>
              </w:rPr>
              <w:t>■</w:t>
            </w:r>
            <w:r>
              <w:rPr>
                <w:rFonts w:hint="eastAsia" w:ascii="宋体" w:hAnsi="宋体"/>
                <w:b/>
                <w:color w:val="000000" w:themeColor="text1"/>
                <w:szCs w:val="21"/>
              </w:rPr>
              <w:t>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b/>
                <w:color w:val="000000" w:themeColor="text1"/>
                <w:sz w:val="14"/>
                <w:szCs w:val="14"/>
              </w:rPr>
            </w:pPr>
            <w:r>
              <w:rPr>
                <w:rFonts w:hint="eastAsia" w:ascii="宋体" w:hAnsi="宋体"/>
                <w:b/>
                <w:color w:val="000000" w:themeColor="text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rPr>
                <w:rFonts w:hint="eastAsia" w:ascii="宋体" w:hAnsi="宋体" w:eastAsia="宋体" w:cs="Times New Roman"/>
                <w:color w:val="000000" w:themeColor="text1"/>
              </w:rPr>
            </w:pPr>
            <w:r>
              <w:rPr>
                <w:rFonts w:hint="eastAsia" w:ascii="宋体" w:hAnsi="宋体" w:eastAsia="宋体" w:cs="Times New Roman"/>
                <w:color w:val="000000" w:themeColor="text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rPr>
                <w:rFonts w:hint="eastAsia" w:ascii="宋体" w:hAnsi="宋体" w:eastAsia="宋体" w:cs="Times New Roman"/>
                <w:color w:val="000000" w:themeColor="text1"/>
              </w:rPr>
            </w:pPr>
            <w:r>
              <w:rPr>
                <w:rFonts w:hint="eastAsia" w:ascii="宋体" w:hAnsi="宋体" w:eastAsia="宋体" w:cs="Times New Roman"/>
                <w:color w:val="000000" w:themeColor="text1"/>
              </w:rPr>
              <w:t>公司管理目标</w:t>
            </w:r>
          </w:p>
          <w:p>
            <w:pPr>
              <w:spacing w:line="300" w:lineRule="exact"/>
              <w:rPr>
                <w:rFonts w:hint="eastAsia" w:ascii="宋体" w:hAnsi="宋体" w:eastAsia="宋体" w:cs="Times New Roman"/>
                <w:color w:val="000000" w:themeColor="text1"/>
              </w:rPr>
            </w:pPr>
            <w:r>
              <w:rPr>
                <w:rFonts w:hint="eastAsia" w:ascii="宋体" w:hAnsi="宋体" w:eastAsia="宋体" w:cs="Times New Roman"/>
                <w:color w:val="000000" w:themeColor="text1"/>
              </w:rPr>
              <w:t>质量目标：</w:t>
            </w:r>
          </w:p>
          <w:p>
            <w:pPr>
              <w:spacing w:line="300" w:lineRule="exact"/>
              <w:rPr>
                <w:rFonts w:hint="eastAsia" w:ascii="宋体" w:hAnsi="宋体" w:eastAsia="宋体" w:cs="Times New Roman"/>
                <w:color w:val="000000" w:themeColor="text1"/>
              </w:rPr>
            </w:pPr>
            <w:r>
              <w:rPr>
                <w:rFonts w:hint="eastAsia" w:ascii="宋体" w:hAnsi="宋体" w:eastAsia="宋体" w:cs="Times New Roman"/>
                <w:color w:val="000000" w:themeColor="text1"/>
              </w:rPr>
              <w:t>1）、客户满意度≥90分；</w:t>
            </w:r>
          </w:p>
          <w:p>
            <w:pPr>
              <w:spacing w:line="300" w:lineRule="exact"/>
              <w:rPr>
                <w:rFonts w:hint="eastAsia" w:ascii="宋体" w:hAnsi="宋体" w:eastAsia="宋体" w:cs="Times New Roman"/>
                <w:color w:val="000000" w:themeColor="text1"/>
              </w:rPr>
            </w:pPr>
            <w:r>
              <w:rPr>
                <w:rFonts w:hint="eastAsia" w:ascii="宋体" w:hAnsi="宋体" w:eastAsia="宋体" w:cs="Times New Roman"/>
                <w:color w:val="000000" w:themeColor="text1"/>
              </w:rPr>
              <w:t xml:space="preserve">环境目标： </w:t>
            </w:r>
          </w:p>
          <w:p>
            <w:pPr>
              <w:spacing w:line="300" w:lineRule="exact"/>
              <w:rPr>
                <w:rFonts w:hint="eastAsia" w:ascii="宋体" w:hAnsi="宋体" w:eastAsia="宋体" w:cs="Times New Roman"/>
                <w:color w:val="000000" w:themeColor="text1"/>
              </w:rPr>
            </w:pPr>
            <w:r>
              <w:rPr>
                <w:rFonts w:hint="eastAsia" w:ascii="宋体" w:hAnsi="宋体" w:eastAsia="宋体" w:cs="Times New Roman"/>
                <w:color w:val="000000" w:themeColor="text1"/>
              </w:rPr>
              <w:t>1）、对固体废弃物合规处置率100%；</w:t>
            </w:r>
          </w:p>
          <w:p>
            <w:pPr>
              <w:spacing w:line="300" w:lineRule="exact"/>
              <w:rPr>
                <w:rFonts w:hint="eastAsia" w:ascii="宋体" w:hAnsi="宋体" w:eastAsia="宋体" w:cs="Times New Roman"/>
                <w:color w:val="000000" w:themeColor="text1"/>
              </w:rPr>
            </w:pPr>
            <w:r>
              <w:rPr>
                <w:rFonts w:hint="eastAsia" w:ascii="宋体" w:hAnsi="宋体" w:eastAsia="宋体" w:cs="Times New Roman"/>
                <w:color w:val="000000" w:themeColor="text1"/>
              </w:rPr>
              <w:t>2）、火灾事故发生率为0</w:t>
            </w:r>
          </w:p>
          <w:p>
            <w:pPr>
              <w:spacing w:line="300" w:lineRule="exact"/>
              <w:rPr>
                <w:rFonts w:hint="eastAsia" w:ascii="宋体" w:hAnsi="宋体" w:eastAsia="宋体" w:cs="Times New Roman"/>
                <w:color w:val="000000" w:themeColor="text1"/>
              </w:rPr>
            </w:pPr>
            <w:r>
              <w:rPr>
                <w:rFonts w:hint="eastAsia" w:ascii="宋体" w:hAnsi="宋体" w:eastAsia="宋体" w:cs="Times New Roman"/>
                <w:color w:val="000000" w:themeColor="text1"/>
              </w:rPr>
              <w:t>职业健康安全目标：</w:t>
            </w:r>
          </w:p>
          <w:p>
            <w:pPr>
              <w:spacing w:line="300" w:lineRule="exact"/>
              <w:rPr>
                <w:rFonts w:hint="eastAsia" w:ascii="宋体" w:hAnsi="宋体" w:eastAsia="宋体" w:cs="Times New Roman"/>
                <w:color w:val="000000" w:themeColor="text1"/>
              </w:rPr>
            </w:pPr>
            <w:r>
              <w:rPr>
                <w:rFonts w:hint="eastAsia" w:ascii="宋体" w:hAnsi="宋体" w:eastAsia="宋体" w:cs="Times New Roman"/>
                <w:color w:val="000000" w:themeColor="text1"/>
              </w:rPr>
              <w:t>1）、死亡事故发生率为0</w:t>
            </w:r>
          </w:p>
          <w:p>
            <w:pPr>
              <w:spacing w:line="300" w:lineRule="exact"/>
              <w:rPr>
                <w:rFonts w:ascii="宋体" w:hAnsi="宋体"/>
                <w:b/>
                <w:color w:val="000000" w:themeColor="text1"/>
              </w:rPr>
            </w:pPr>
            <w:r>
              <w:rPr>
                <w:rFonts w:hint="eastAsia" w:ascii="宋体" w:hAnsi="宋体" w:eastAsia="宋体" w:cs="Times New Roman"/>
                <w:color w:val="000000" w:themeColor="text1"/>
              </w:rPr>
              <w:t>2）、火灾事故发生率为0；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21</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月</w:t>
            </w:r>
            <w:r>
              <w:rPr>
                <w:rFonts w:hint="eastAsia" w:ascii="宋体" w:hAnsi="宋体" w:cs="宋体"/>
                <w:color w:val="000000" w:themeColor="text1"/>
                <w:lang w:val="en-US" w:eastAsia="zh-CN"/>
              </w:rPr>
              <w:t>8</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szCs w:val="21"/>
              </w:rPr>
              <w:t>服务的</w:t>
            </w:r>
            <w:r>
              <w:rPr>
                <w:rFonts w:hint="eastAsia" w:ascii="宋体" w:hAnsi="宋体"/>
                <w:bCs/>
                <w:iCs/>
                <w:szCs w:val="22"/>
              </w:rPr>
              <w:t>运行环境，可以维持管理体系的正常运行。</w:t>
            </w: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宋体" w:hAnsi="宋体" w:eastAsia="宋体" w:cs="宋体"/>
                <w:color w:val="000000" w:themeColor="text1"/>
                <w:highlight w:val="none"/>
              </w:rPr>
              <w:t>办公场所面积</w:t>
            </w:r>
            <w:r>
              <w:rPr>
                <w:rFonts w:hint="eastAsia" w:ascii="宋体" w:hAnsi="宋体" w:eastAsia="宋体" w:cs="宋体"/>
                <w:color w:val="000000" w:themeColor="text1"/>
                <w:highlight w:val="none"/>
                <w:lang w:val="en-US" w:eastAsia="zh-CN"/>
              </w:rPr>
              <w:t>160</w:t>
            </w:r>
            <w:r>
              <w:rPr>
                <w:rFonts w:hint="eastAsia" w:ascii="宋体" w:hAnsi="宋体" w:eastAsia="宋体" w:cs="宋体"/>
                <w:color w:val="000000" w:themeColor="text1"/>
                <w:highlight w:val="none"/>
              </w:rPr>
              <w:t>平方左右，主要设备为办公室设备，可以满足</w:t>
            </w:r>
            <w:r>
              <w:rPr>
                <w:rFonts w:hint="eastAsia" w:ascii="宋体" w:hAnsi="宋体" w:eastAsia="宋体" w:cs="宋体"/>
                <w:color w:val="000000" w:themeColor="text1"/>
                <w:highlight w:val="none"/>
                <w:lang w:eastAsia="zh-CN"/>
              </w:rPr>
              <w:t>污水处理技术服务，专用化学产品销售（不含危险化学品）</w:t>
            </w:r>
            <w:r>
              <w:rPr>
                <w:rFonts w:hint="eastAsia" w:ascii="宋体" w:hAnsi="宋体" w:eastAsia="宋体" w:cs="宋体"/>
                <w:color w:val="000000" w:themeColor="text1"/>
                <w:highlight w:val="none"/>
              </w:rPr>
              <w:t>的需要。对设备按要求维护保养，并实施。特种设备：无。公司未建立信息管理系统用于生产和服务。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办公场所及办公设备布置合理，通道畅通，照明设施齐全，均配备了消防设施等设施。办公室明亮，场内光线较充足。每月由行政部对工作环境进行定期检查。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highlight w:val="none"/>
              </w:rPr>
            </w:pPr>
            <w:r>
              <w:rPr>
                <w:rFonts w:hint="eastAsia" w:ascii="宋体" w:hAnsi="宋体"/>
                <w:b/>
                <w:color w:val="000000" w:themeColor="text1"/>
                <w:sz w:val="20"/>
                <w:szCs w:val="20"/>
                <w:highlight w:val="none"/>
              </w:rPr>
              <w:t>监视和测量资源</w:t>
            </w:r>
          </w:p>
          <w:p>
            <w:pPr>
              <w:spacing w:line="400" w:lineRule="exact"/>
              <w:rPr>
                <w:rFonts w:ascii="宋体" w:hAnsi="宋体"/>
                <w:szCs w:val="21"/>
                <w:highlight w:val="none"/>
              </w:rPr>
            </w:pPr>
            <w:r>
              <w:rPr>
                <w:rFonts w:hint="eastAsia" w:ascii="宋体" w:hAnsi="宋体"/>
                <w:szCs w:val="21"/>
                <w:highlight w:val="none"/>
                <w:lang w:val="en-US" w:eastAsia="zh-CN"/>
              </w:rPr>
              <w:t>浊度仪、PH计、紫外分光光度仪、分析天平天平</w:t>
            </w:r>
            <w:r>
              <w:rPr>
                <w:rFonts w:hint="eastAsia" w:ascii="宋体" w:hAnsi="宋体"/>
                <w:szCs w:val="21"/>
                <w:highlight w:val="none"/>
              </w:rPr>
              <w:t>（</w:t>
            </w:r>
            <w:r>
              <w:rPr>
                <w:rFonts w:hint="eastAsia" w:ascii="宋体" w:hAnsi="宋体"/>
                <w:szCs w:val="21"/>
                <w:highlight w:val="none"/>
                <w:lang w:val="en-US" w:eastAsia="zh-CN"/>
              </w:rPr>
              <w:t>由甲方</w:t>
            </w:r>
            <w:r>
              <w:rPr>
                <w:rFonts w:hint="eastAsia" w:ascii="宋体" w:hAnsi="宋体"/>
                <w:szCs w:val="21"/>
                <w:highlight w:val="none"/>
              </w:rPr>
              <w:t>提供</w:t>
            </w:r>
            <w:r>
              <w:rPr>
                <w:rFonts w:hint="eastAsia" w:ascii="宋体" w:hAnsi="宋体"/>
                <w:szCs w:val="21"/>
                <w:highlight w:val="none"/>
                <w:lang w:val="en-US" w:eastAsia="zh-CN"/>
              </w:rPr>
              <w:t>和管理</w:t>
            </w:r>
            <w:r>
              <w:rPr>
                <w:rFonts w:hint="eastAsia" w:ascii="宋体" w:hAnsi="宋体"/>
                <w:szCs w:val="21"/>
                <w:highlight w:val="none"/>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hint="eastAsia" w:ascii="宋体" w:hAnsi="宋体" w:eastAsia="宋体" w:cs="宋体"/>
                <w:szCs w:val="21"/>
              </w:rPr>
            </w:pPr>
            <w:r>
              <w:rPr>
                <w:rFonts w:hint="eastAsia" w:ascii="宋体" w:hAnsi="宋体" w:eastAsia="宋体" w:cs="宋体"/>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eastAsia="宋体" w:cs="宋体"/>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楷体_GB2312" w:eastAsia="楷体_GB2312"/>
                <w:b/>
                <w:color w:val="000000" w:themeColor="text1"/>
                <w:sz w:val="20"/>
                <w:szCs w:val="20"/>
                <w:lang w:eastAsia="zh-CN"/>
              </w:rPr>
              <w:t>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r>
              <w:rPr>
                <w:rFonts w:hint="eastAsia" w:ascii="宋体" w:hAnsi="宋体" w:eastAsia="宋体" w:cs="宋体"/>
                <w:color w:val="000000"/>
                <w:szCs w:val="21"/>
              </w:rPr>
              <w:t>制定并实施了检验控制规定，规定了公司各管理层次和品质检测部门在各阶段对成果质量实施检查与验收的管理要求，</w:t>
            </w:r>
            <w:r>
              <w:rPr>
                <w:rFonts w:hint="eastAsia" w:ascii="宋体" w:hAnsi="宋体" w:eastAsia="宋体" w:cs="宋体"/>
                <w:color w:val="000000"/>
                <w:szCs w:val="21"/>
                <w:lang w:eastAsia="zh-CN"/>
              </w:rPr>
              <w:t>技术服务</w:t>
            </w:r>
            <w:r>
              <w:rPr>
                <w:rFonts w:hint="eastAsia" w:ascii="宋体" w:hAnsi="宋体" w:eastAsia="宋体" w:cs="宋体"/>
                <w:color w:val="000000"/>
                <w:szCs w:val="21"/>
              </w:rPr>
              <w:t>成果的验收工作均在交付前予以完成。内容基本具备全面性、系统性及可操作性，范围包括：过程、最终产品。以此保证持续向顾客稳定提供稳定合格的产品。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rFonts w:hint="eastAsia" w:eastAsia="宋体"/>
                <w:b/>
                <w:color w:val="000000" w:themeColor="text1"/>
                <w:sz w:val="20"/>
                <w:szCs w:val="20"/>
                <w:lang w:eastAsia="zh-CN"/>
              </w:rPr>
            </w:pPr>
            <w:r>
              <w:rPr>
                <w:rFonts w:hint="eastAsia"/>
                <w:b/>
                <w:color w:val="000000" w:themeColor="text1"/>
                <w:sz w:val="20"/>
                <w:szCs w:val="20"/>
                <w:lang w:eastAsia="zh-CN"/>
              </w:rPr>
              <w:t>无</w:t>
            </w:r>
          </w:p>
          <w:p>
            <w:pPr>
              <w:spacing w:line="300" w:lineRule="exact"/>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Theme="minorEastAsia" w:hAnsiTheme="minorEastAsia" w:eastAsiaTheme="minorEastAsia"/>
                <w:bCs/>
                <w:iCs/>
                <w:color w:val="000000" w:themeColor="text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asciiTheme="minorEastAsia" w:hAnsiTheme="minorEastAsia" w:eastAsiaTheme="minorEastAsia"/>
                <w:bCs/>
                <w:iCs/>
                <w:color w:val="000000" w:themeColor="text1"/>
              </w:rPr>
              <w:t>组织重要环境因</w:t>
            </w:r>
            <w:r>
              <w:rPr>
                <w:rFonts w:hint="eastAsia" w:asciiTheme="minorEastAsia" w:hAnsiTheme="minorEastAsia" w:eastAsiaTheme="minorEastAsia"/>
                <w:bCs/>
                <w:iCs/>
              </w:rPr>
              <w:t>素为</w:t>
            </w:r>
            <w:r>
              <w:rPr>
                <w:rFonts w:hint="eastAsia" w:ascii="宋体" w:hAnsi="宋体"/>
                <w:szCs w:val="21"/>
              </w:rPr>
              <w:t>潜在火灾、固废排放</w:t>
            </w:r>
            <w:r>
              <w:rPr>
                <w:rFonts w:hint="eastAsia" w:asciiTheme="minorEastAsia" w:hAnsiTheme="minorEastAsia" w:eastAsiaTheme="minorEastAsia"/>
                <w:bCs/>
                <w:iCs/>
              </w:rPr>
              <w:t>，需要应对的风险和机遇相关的过程为</w:t>
            </w:r>
            <w:r>
              <w:rPr>
                <w:rFonts w:hint="eastAsia" w:asciiTheme="minorEastAsia" w:hAnsiTheme="minorEastAsia" w:eastAsiaTheme="minorEastAsia"/>
                <w:bCs/>
                <w:iCs/>
                <w:lang w:eastAsia="zh-CN"/>
              </w:rPr>
              <w:t>技术服务过程、销售服务过程</w:t>
            </w:r>
            <w:r>
              <w:rPr>
                <w:rFonts w:hint="eastAsia" w:asciiTheme="minorEastAsia" w:hAnsiTheme="minorEastAsia" w:eastAsiaTheme="minorEastAsia"/>
                <w:bCs/>
                <w:iCs/>
              </w:rPr>
              <w:t>，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OHSMS组织对不可接受风险实施控制的结果</w:t>
            </w:r>
          </w:p>
          <w:p>
            <w:pPr>
              <w:spacing w:line="400" w:lineRule="atLeast"/>
              <w:jc w:val="left"/>
              <w:rPr>
                <w:b/>
                <w:color w:val="000000" w:themeColor="text1"/>
                <w:sz w:val="20"/>
                <w:szCs w:val="20"/>
              </w:rPr>
            </w:pPr>
            <w:r>
              <w:rPr>
                <w:rFonts w:hint="eastAsia" w:cs="Times New Roman" w:asciiTheme="minorEastAsia" w:hAnsiTheme="minorEastAsia" w:eastAsiaTheme="minorEastAsia"/>
                <w:bCs/>
                <w:iCs/>
              </w:rPr>
              <w:t>组织建立了危险源识别、评价控制程序，识别评价了危险源、风险相关的过程，评价出了重要危险源</w:t>
            </w:r>
            <w:r>
              <w:rPr>
                <w:rFonts w:hint="eastAsia" w:cs="Times New Roman" w:asciiTheme="minorEastAsia" w:hAnsiTheme="minorEastAsia" w:eastAsiaTheme="minorEastAsia"/>
                <w:bCs/>
                <w:iCs/>
                <w:lang w:eastAsia="zh-CN"/>
              </w:rPr>
              <w:t>（</w:t>
            </w:r>
            <w:r>
              <w:rPr>
                <w:rFonts w:hint="eastAsia" w:ascii="宋体" w:hAnsi="宋体"/>
                <w:color w:val="000000" w:themeColor="text1"/>
                <w:szCs w:val="21"/>
              </w:rPr>
              <w:t>火灾、触电</w:t>
            </w:r>
            <w:r>
              <w:rPr>
                <w:rFonts w:hint="eastAsia" w:ascii="宋体" w:hAnsi="宋体"/>
                <w:color w:val="000000" w:themeColor="text1"/>
                <w:szCs w:val="21"/>
                <w:lang w:eastAsia="zh-CN"/>
              </w:rPr>
              <w:t>、意外伤害（化学品泄漏造成伤害、有害气体中毒、车辆伤害等）</w:t>
            </w:r>
            <w:r>
              <w:rPr>
                <w:rFonts w:hint="eastAsia" w:cs="Times New Roman" w:asciiTheme="minorEastAsia" w:hAnsiTheme="minorEastAsia" w:eastAsiaTheme="minorEastAsia"/>
                <w:bCs/>
                <w:iCs/>
                <w:lang w:eastAsia="zh-CN"/>
              </w:rPr>
              <w:t>）</w:t>
            </w:r>
            <w:r>
              <w:rPr>
                <w:rFonts w:hint="eastAsia" w:cs="Times New Roman" w:asciiTheme="minorEastAsia" w:hAnsiTheme="minorEastAsia" w:eastAsiaTheme="minorEastAsia"/>
                <w:bCs/>
                <w:iCs/>
              </w:rPr>
              <w:t>，与之相关的过程有</w:t>
            </w:r>
            <w:r>
              <w:rPr>
                <w:rFonts w:hint="eastAsia" w:cs="Times New Roman" w:asciiTheme="minorEastAsia" w:hAnsiTheme="minorEastAsia" w:eastAsiaTheme="minorEastAsia"/>
                <w:bCs/>
                <w:iCs/>
                <w:lang w:val="en-US" w:eastAsia="zh-CN"/>
              </w:rPr>
              <w:t>技术</w:t>
            </w:r>
            <w:r>
              <w:rPr>
                <w:rFonts w:hint="eastAsia" w:cs="Times New Roman" w:asciiTheme="minorEastAsia" w:hAnsiTheme="minorEastAsia" w:eastAsiaTheme="minorEastAsia"/>
                <w:bCs/>
                <w:iCs/>
              </w:rPr>
              <w:t>服务、</w:t>
            </w:r>
            <w:r>
              <w:rPr>
                <w:rFonts w:hint="eastAsia" w:cs="Times New Roman" w:asciiTheme="minorEastAsia" w:hAnsiTheme="minorEastAsia" w:eastAsiaTheme="minorEastAsia"/>
                <w:bCs/>
                <w:iCs/>
                <w:lang w:eastAsia="zh-CN"/>
              </w:rPr>
              <w:t>销售</w:t>
            </w:r>
            <w:r>
              <w:rPr>
                <w:rFonts w:hint="eastAsia" w:cs="Times New Roman" w:asciiTheme="minorEastAsia" w:hAnsiTheme="minorEastAsia" w:eastAsiaTheme="minorEastAsia"/>
                <w:bCs/>
                <w:iCs/>
              </w:rPr>
              <w:t>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bookmarkStart w:id="23" w:name="_GoBack"/>
            <w:bookmarkEnd w:id="23"/>
          </w:p>
          <w:p>
            <w:pPr>
              <w:spacing w:line="240" w:lineRule="exact"/>
              <w:rPr>
                <w:rFonts w:hint="default"/>
                <w:b/>
                <w:color w:val="000000" w:themeColor="text1"/>
                <w:sz w:val="20"/>
                <w:szCs w:val="20"/>
                <w:lang w:val="en-US"/>
              </w:rPr>
            </w:pPr>
            <w:r>
              <w:rPr>
                <w:rFonts w:hint="eastAsia"/>
                <w:b/>
                <w:color w:val="000000" w:themeColor="text1"/>
                <w:sz w:val="20"/>
                <w:szCs w:val="20"/>
                <w:highlight w:val="none"/>
                <w:lang w:val="en-US" w:eastAsia="zh-CN"/>
              </w:rPr>
              <w:t>项目所用化学药品均由组织以技术为平台，为客户提供定制式服务。技术服务采用承包制技术包服务涵盖专业技术人员现场指导和处理所需化学品使用（化学品存储于甲方指定仓库）或者其中一种。组织通过技术线连接客户和生产厂家，采用零站式专用化学品销售，降低运输和存储风险；通过现场小试，研究出最佳处理体系，找到体系下对应化学品厂家，厂家按要求进行二次复配，直接配送到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rPr>
                <w:b/>
                <w:color w:val="000000" w:themeColor="text1"/>
                <w:sz w:val="20"/>
                <w:szCs w:val="20"/>
              </w:rPr>
            </w:pPr>
            <w:r>
              <w:rPr>
                <w:rFonts w:hint="eastAsia" w:cs="Times New Roman" w:asciiTheme="minorEastAsia" w:hAnsiTheme="minorEastAsia" w:eastAsiaTheme="minorEastAsia"/>
                <w:bCs/>
                <w:iCs/>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cs="Times New Roman" w:asciiTheme="minorEastAsia" w:hAnsiTheme="minorEastAsia" w:eastAsiaTheme="minorEastAsia"/>
                <w:bCs/>
                <w:iCs/>
                <w:lang w:val="en-US" w:eastAsia="zh-CN"/>
              </w:rPr>
              <w:t>21</w:t>
            </w:r>
            <w:r>
              <w:rPr>
                <w:rFonts w:hint="eastAsia" w:cs="Times New Roman" w:asciiTheme="minorEastAsia" w:hAnsiTheme="minorEastAsia" w:eastAsiaTheme="minorEastAsia"/>
                <w:bCs/>
                <w:iCs/>
              </w:rPr>
              <w:t>年</w:t>
            </w:r>
            <w:r>
              <w:rPr>
                <w:rFonts w:hint="eastAsia" w:cs="Times New Roman" w:asciiTheme="minorEastAsia" w:hAnsiTheme="minorEastAsia" w:eastAsiaTheme="minorEastAsia"/>
                <w:bCs/>
                <w:iCs/>
                <w:lang w:val="en-US" w:eastAsia="zh-CN"/>
              </w:rPr>
              <w:t>1</w:t>
            </w:r>
            <w:r>
              <w:rPr>
                <w:rFonts w:hint="eastAsia" w:cs="Times New Roman" w:asciiTheme="minorEastAsia" w:hAnsiTheme="minorEastAsia" w:eastAsiaTheme="minorEastAsia"/>
                <w:bCs/>
                <w:iCs/>
              </w:rPr>
              <w:t>月</w:t>
            </w:r>
            <w:r>
              <w:rPr>
                <w:rFonts w:hint="eastAsia" w:cs="Times New Roman" w:asciiTheme="minorEastAsia" w:hAnsiTheme="minorEastAsia" w:eastAsiaTheme="minorEastAsia"/>
                <w:bCs/>
                <w:iCs/>
                <w:lang w:val="en-US" w:eastAsia="zh-CN"/>
              </w:rPr>
              <w:t>-</w:t>
            </w:r>
            <w:r>
              <w:rPr>
                <w:rFonts w:hint="eastAsia" w:cs="Times New Roman" w:asciiTheme="minorEastAsia" w:hAnsiTheme="minorEastAsia" w:eastAsiaTheme="minorEastAsia"/>
                <w:bCs/>
                <w:iCs/>
              </w:rPr>
              <w:t>20</w:t>
            </w:r>
            <w:r>
              <w:rPr>
                <w:rFonts w:hint="eastAsia" w:cs="Times New Roman" w:asciiTheme="minorEastAsia" w:hAnsiTheme="minorEastAsia" w:eastAsiaTheme="minorEastAsia"/>
                <w:bCs/>
                <w:iCs/>
                <w:lang w:val="en-US" w:eastAsia="zh-CN"/>
              </w:rPr>
              <w:t>21</w:t>
            </w:r>
            <w:r>
              <w:rPr>
                <w:rFonts w:hint="eastAsia" w:cs="Times New Roman" w:asciiTheme="minorEastAsia" w:hAnsiTheme="minorEastAsia" w:eastAsiaTheme="minorEastAsia"/>
                <w:bCs/>
                <w:iCs/>
              </w:rPr>
              <w:t>年</w:t>
            </w:r>
            <w:r>
              <w:rPr>
                <w:rFonts w:hint="eastAsia" w:cs="Times New Roman" w:asciiTheme="minorEastAsia" w:hAnsiTheme="minorEastAsia" w:eastAsiaTheme="minorEastAsia"/>
                <w:bCs/>
                <w:iCs/>
                <w:lang w:val="en-US" w:eastAsia="zh-CN"/>
              </w:rPr>
              <w:t>6</w:t>
            </w:r>
            <w:r>
              <w:rPr>
                <w:rFonts w:hint="eastAsia" w:cs="Times New Roman" w:asciiTheme="minorEastAsia" w:hAnsiTheme="minorEastAsia" w:eastAsiaTheme="minorEastAsia"/>
                <w:bCs/>
                <w:iCs/>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0" w:hanging="105" w:hangingChars="50"/>
              <w:rPr>
                <w:b/>
                <w:color w:val="000000" w:themeColor="text1"/>
                <w:sz w:val="20"/>
                <w:szCs w:val="20"/>
              </w:rPr>
            </w:pPr>
            <w:r>
              <w:rPr>
                <w:rFonts w:hint="eastAsia" w:cs="Times New Roman" w:asciiTheme="minorEastAsia" w:hAnsiTheme="minorEastAsia" w:eastAsiaTheme="minorEastAsia"/>
                <w:bCs/>
                <w:iCs/>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cs="Times New Roman" w:asciiTheme="minorEastAsia" w:hAnsiTheme="minorEastAsia" w:eastAsiaTheme="minorEastAsia"/>
                <w:bCs/>
                <w:iCs/>
                <w:lang w:val="en-US" w:eastAsia="zh-CN"/>
              </w:rPr>
              <w:t>20</w:t>
            </w:r>
            <w:r>
              <w:rPr>
                <w:rFonts w:hint="eastAsia" w:cs="Times New Roman" w:asciiTheme="minorEastAsia" w:hAnsiTheme="minorEastAsia" w:eastAsiaTheme="minorEastAsia"/>
                <w:bCs/>
                <w:iCs/>
              </w:rPr>
              <w:t>年</w:t>
            </w:r>
            <w:r>
              <w:rPr>
                <w:rFonts w:hint="eastAsia" w:cs="Times New Roman" w:asciiTheme="minorEastAsia" w:hAnsiTheme="minorEastAsia" w:eastAsiaTheme="minorEastAsia"/>
                <w:bCs/>
                <w:iCs/>
                <w:lang w:val="en-US" w:eastAsia="zh-CN"/>
              </w:rPr>
              <w:t>3</w:t>
            </w:r>
            <w:r>
              <w:rPr>
                <w:rFonts w:hint="eastAsia" w:cs="Times New Roman" w:asciiTheme="minorEastAsia" w:hAnsiTheme="minorEastAsia" w:eastAsiaTheme="minorEastAsia"/>
                <w:bCs/>
                <w:iCs/>
              </w:rPr>
              <w:t>月实施，满意</w:t>
            </w:r>
            <w:r>
              <w:rPr>
                <w:rFonts w:hint="eastAsia" w:cs="Times New Roman" w:asciiTheme="minorEastAsia" w:hAnsiTheme="minorEastAsia" w:eastAsiaTheme="minorEastAsia"/>
                <w:bCs/>
                <w:iCs/>
                <w:lang w:eastAsia="zh-CN"/>
              </w:rPr>
              <w:t>度</w:t>
            </w:r>
            <w:r>
              <w:rPr>
                <w:rFonts w:hint="eastAsia" w:cs="Times New Roman" w:asciiTheme="minorEastAsia" w:hAnsiTheme="minorEastAsia" w:eastAsiaTheme="minorEastAsia"/>
                <w:bCs/>
                <w:iCs/>
              </w:rPr>
              <w:t>评价</w:t>
            </w:r>
            <w:r>
              <w:rPr>
                <w:rFonts w:hint="eastAsia" w:cs="Times New Roman" w:asciiTheme="minorEastAsia" w:hAnsiTheme="minorEastAsia" w:eastAsiaTheme="minorEastAsia"/>
                <w:bCs/>
                <w:iCs/>
                <w:lang w:val="en-US" w:eastAsia="zh-CN"/>
              </w:rPr>
              <w:t>95分</w:t>
            </w:r>
            <w:r>
              <w:rPr>
                <w:rFonts w:hint="eastAsia" w:cs="Times New Roman" w:asciiTheme="minorEastAsia" w:hAnsiTheme="minorEastAsia" w:eastAsiaTheme="minorEastAsia"/>
                <w:bCs/>
                <w:iCs/>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z w:val="20"/>
                <w:szCs w:val="20"/>
              </w:rPr>
            </w:pPr>
            <w:r>
              <w:rPr>
                <w:rFonts w:hint="eastAsia" w:ascii="宋体" w:hAnsi="宋体"/>
                <w:szCs w:val="21"/>
              </w:rPr>
              <w:t>建立有《内部审核管理制度》，规定了内审频次一年一次，内审时间：2021年4月15日，拟定了审核实施表，明确了内审范围，内审人员经培训合格上岗，能力满足要求，未出现审核本部门情况，内审不符合项</w:t>
            </w:r>
            <w:r>
              <w:rPr>
                <w:rFonts w:hint="eastAsia" w:ascii="宋体" w:hAnsi="宋体"/>
                <w:szCs w:val="21"/>
                <w:lang w:val="en-US" w:eastAsia="zh-CN"/>
              </w:rPr>
              <w:t>1</w:t>
            </w:r>
            <w:r>
              <w:rPr>
                <w:rFonts w:hint="eastAsia" w:ascii="宋体" w:hAnsi="宋体"/>
                <w:szCs w:val="21"/>
              </w:rPr>
              <w:t>项，涉及综合部QES</w:t>
            </w:r>
            <w:r>
              <w:rPr>
                <w:rFonts w:hint="eastAsia" w:ascii="宋体" w:hAnsi="宋体"/>
                <w:szCs w:val="21"/>
                <w:lang w:val="en-US" w:eastAsia="zh-CN"/>
              </w:rPr>
              <w:t>7.2</w:t>
            </w:r>
            <w:r>
              <w:rPr>
                <w:rFonts w:hint="eastAsia" w:ascii="宋体" w:hAnsi="宋体"/>
                <w:szCs w:val="21"/>
              </w:rPr>
              <w:t>条款，查2月份培训记录表无效果评价，针对以上不符合项，已及时采取纠正措施后，经内审员验证关闭。内审的有效性需要改善。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日由总经理主持完成、提供主要输入材料有各部门总结，输入信息基本充分和满足要求。输出见“管理评审报告”,做出了管理体系基本适宜、充分和有效的评审结论。管理评审的输出不具体，需要改善。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r>
              <w:rPr>
                <w:rFonts w:hint="eastAsia"/>
                <w:b/>
                <w:bCs/>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r>
              <w:rPr>
                <w:rFonts w:hint="eastAsia"/>
                <w:b/>
                <w:bCs/>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bCs/>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宋体" w:hAnsi="宋体" w:eastAsia="宋体" w:cs="Times New Roman"/>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一阶段无问题验证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val="en-US" w:eastAsia="zh-CN"/>
              </w:rPr>
              <w:t xml:space="preserve">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rFonts w:hint="eastAsia" w:eastAsia="宋体"/>
                <w:b/>
                <w:color w:val="000000" w:themeColor="text1"/>
                <w:szCs w:val="21"/>
                <w:lang w:val="en-US" w:eastAsia="zh-CN"/>
              </w:rPr>
            </w:pPr>
            <w:r>
              <w:rPr>
                <w:rFonts w:hint="eastAsia"/>
                <w:b/>
                <w:color w:val="000000" w:themeColor="text1"/>
                <w:szCs w:val="21"/>
                <w:lang w:val="en-US" w:eastAsia="zh-CN"/>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 xml:space="preserve"> 0</w:t>
      </w:r>
      <w:r>
        <w:rPr>
          <w:rFonts w:hint="eastAsia"/>
          <w:b/>
          <w:color w:val="000000" w:themeColor="text1"/>
        </w:rPr>
        <w:t>项，一般不符合</w:t>
      </w:r>
      <w:r>
        <w:rPr>
          <w:rFonts w:hint="eastAsia"/>
          <w:b/>
          <w:color w:val="000000" w:themeColor="text1"/>
          <w:lang w:val="en-US" w:eastAsia="zh-CN"/>
        </w:rPr>
        <w:t xml:space="preserve"> 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lang w:val="en-US" w:eastAsia="zh-CN"/>
        </w:rPr>
        <w:t>不符合项</w:t>
      </w:r>
      <w:r>
        <w:rPr>
          <w:rFonts w:hint="eastAsia"/>
          <w:b/>
          <w:color w:val="000000" w:themeColor="text1"/>
        </w:rPr>
        <w:t>分布在</w:t>
      </w:r>
      <w:r>
        <w:rPr>
          <w:rFonts w:hint="eastAsia"/>
          <w:b/>
          <w:color w:val="000000" w:themeColor="text1"/>
          <w:lang w:val="en-US" w:eastAsia="zh-CN"/>
        </w:rPr>
        <w:t>综合</w:t>
      </w:r>
      <w:r>
        <w:rPr>
          <w:rFonts w:hint="eastAsia"/>
          <w:b/>
          <w:color w:val="000000" w:themeColor="text1"/>
        </w:rPr>
        <w:t>部门</w:t>
      </w:r>
      <w:r>
        <w:rPr>
          <w:rFonts w:hint="eastAsia" w:ascii="宋体" w:hAnsi="宋体" w:eastAsia="宋体" w:cs="宋体"/>
          <w:b/>
          <w:color w:val="000000" w:themeColor="text1"/>
          <w:lang w:val="en-US" w:eastAsia="zh-CN"/>
        </w:rPr>
        <w:t>Q8.5.1f</w:t>
      </w:r>
      <w:r>
        <w:rPr>
          <w:rFonts w:hint="eastAsia"/>
          <w:b/>
          <w:color w:val="000000" w:themeColor="text1"/>
          <w:lang w:val="en-US" w:eastAsia="zh-CN"/>
        </w:rPr>
        <w:t xml:space="preserve"> </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黑体" w:hAnsi="黑体" w:eastAsia="黑体" w:cs="黑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eastAsia="zh-CN"/>
        </w:rPr>
      </w:pPr>
      <w:r>
        <w:rPr>
          <w:rFonts w:hint="eastAsia" w:ascii="黑体" w:hAnsi="黑体" w:eastAsia="黑体" w:cs="黑体"/>
          <w:b/>
          <w:color w:val="000000" w:themeColor="text1"/>
          <w:spacing w:val="-10"/>
          <w:szCs w:val="21"/>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黑体" w:hAnsi="黑体" w:eastAsia="黑体" w:cs="黑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黑体" w:hAnsi="黑体" w:eastAsia="黑体" w:cs="黑体"/>
                <w:b/>
                <w:color w:val="000000" w:themeColor="text1"/>
                <w:spacing w:val="-10"/>
                <w:szCs w:val="21"/>
              </w:rPr>
              <w:t>■</w:t>
            </w:r>
            <w:r>
              <w:rPr>
                <w:rFonts w:hint="eastAsia"/>
                <w:b/>
                <w:color w:val="000000" w:themeColor="text1"/>
                <w:sz w:val="22"/>
                <w:szCs w:val="22"/>
              </w:rPr>
              <w:t>QMS</w:t>
            </w:r>
            <w:r>
              <w:rPr>
                <w:rFonts w:hint="eastAsia" w:ascii="黑体" w:hAnsi="黑体" w:eastAsia="黑体" w:cs="黑体"/>
                <w:b/>
                <w:color w:val="000000" w:themeColor="text1"/>
                <w:spacing w:val="-10"/>
                <w:szCs w:val="21"/>
              </w:rPr>
              <w:t>■</w:t>
            </w:r>
            <w:r>
              <w:rPr>
                <w:rFonts w:hint="eastAsia"/>
                <w:b/>
                <w:color w:val="000000" w:themeColor="text1"/>
                <w:sz w:val="22"/>
                <w:szCs w:val="22"/>
              </w:rPr>
              <w:t xml:space="preserve">EMS  </w:t>
            </w:r>
            <w:r>
              <w:rPr>
                <w:rFonts w:hint="eastAsia" w:ascii="黑体" w:hAnsi="黑体" w:eastAsia="黑体" w:cs="黑体"/>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黑体" w:hAnsi="黑体" w:eastAsia="黑体" w:cs="黑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lang w:eastAsia="zh-CN"/>
              </w:rPr>
              <w:t>污水处理技术服务，专用化学产品销售（不含危险化学品）</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szCs w:val="21"/>
                <w:lang w:eastAsia="zh-CN"/>
              </w:rPr>
              <w:t>污水处理技术服务，专用化学产品销售（不含危险化学品）</w:t>
            </w:r>
            <w:r>
              <w:rPr>
                <w:rFonts w:hint="eastAsia" w:ascii="宋体" w:hAnsi="宋体"/>
                <w:szCs w:val="21"/>
              </w:rPr>
              <w:t>所涉及的相关环境管理活动</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szCs w:val="21"/>
                <w:lang w:eastAsia="zh-CN"/>
              </w:rPr>
              <w:t>污水处理技术服务，专用化学产品销售（不含危险化学品）</w:t>
            </w:r>
            <w:r>
              <w:rPr>
                <w:rFonts w:hint="eastAsia" w:ascii="宋体" w:hAnsi="宋体"/>
                <w:szCs w:val="21"/>
              </w:rPr>
              <w:t>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黑体" w:hAnsi="黑体" w:eastAsia="黑体" w:cs="黑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黑体" w:hAnsi="黑体" w:eastAsia="黑体" w:cs="黑体"/>
                <w:b/>
                <w:color w:val="000000" w:themeColor="text1"/>
                <w:spacing w:val="-10"/>
                <w:szCs w:val="21"/>
              </w:rPr>
              <w:t>■</w:t>
            </w:r>
            <w:r>
              <w:rPr>
                <w:rFonts w:hint="eastAsia"/>
                <w:b/>
                <w:color w:val="000000" w:themeColor="text1"/>
                <w:szCs w:val="21"/>
              </w:rPr>
              <w:t xml:space="preserve">QMS  </w:t>
            </w:r>
            <w:r>
              <w:rPr>
                <w:rFonts w:hint="eastAsia" w:ascii="黑体" w:hAnsi="黑体" w:eastAsia="黑体" w:cs="黑体"/>
                <w:b/>
                <w:color w:val="000000" w:themeColor="text1"/>
                <w:spacing w:val="-10"/>
                <w:szCs w:val="21"/>
              </w:rPr>
              <w:t>■</w:t>
            </w:r>
            <w:r>
              <w:rPr>
                <w:rFonts w:hint="eastAsia"/>
                <w:b/>
                <w:color w:val="000000" w:themeColor="text1"/>
                <w:szCs w:val="21"/>
              </w:rPr>
              <w:t xml:space="preserve">EMS   </w:t>
            </w:r>
            <w:r>
              <w:rPr>
                <w:rFonts w:hint="eastAsia" w:ascii="黑体" w:hAnsi="黑体" w:eastAsia="黑体" w:cs="黑体"/>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3360" behindDoc="0" locked="0" layoutInCell="1" allowOverlap="1">
            <wp:simplePos x="0" y="0"/>
            <wp:positionH relativeFrom="column">
              <wp:posOffset>1582420</wp:posOffset>
            </wp:positionH>
            <wp:positionV relativeFrom="paragraph">
              <wp:posOffset>307340</wp:posOffset>
            </wp:positionV>
            <wp:extent cx="692150" cy="433070"/>
            <wp:effectExtent l="0" t="0" r="8890" b="8890"/>
            <wp:wrapNone/>
            <wp:docPr id="13" name="图片 1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新文档 2020-01-09 10.59.53_副本.jpg"/>
                    <pic:cNvPicPr>
                      <a:picLocks noChangeAspect="1" noChangeArrowheads="1"/>
                    </pic:cNvPicPr>
                  </pic:nvPicPr>
                  <pic:blipFill>
                    <a:blip r:embed="rId6" cstate="print"/>
                    <a:srcRect/>
                    <a:stretch>
                      <a:fillRect/>
                    </a:stretch>
                  </pic:blipFill>
                  <pic:spPr>
                    <a:xfrm>
                      <a:off x="0" y="0"/>
                      <a:ext cx="692150" cy="43307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3" w:leftChars="-32" w:hanging="54" w:hangingChars="26"/>
        <w:rPr>
          <w:b/>
          <w:color w:val="000000" w:themeColor="text1"/>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2223135</wp:posOffset>
            </wp:positionH>
            <wp:positionV relativeFrom="paragraph">
              <wp:posOffset>330835</wp:posOffset>
            </wp:positionV>
            <wp:extent cx="662940" cy="302895"/>
            <wp:effectExtent l="0" t="0" r="7620" b="1905"/>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662940" cy="302895"/>
                    </a:xfrm>
                    <a:prstGeom prst="rect">
                      <a:avLst/>
                    </a:prstGeom>
                  </pic:spPr>
                </pic:pic>
              </a:graphicData>
            </a:graphic>
          </wp:anchor>
        </w:drawing>
      </w:r>
      <w:r>
        <w:rPr>
          <w:sz w:val="22"/>
          <w:szCs w:val="22"/>
        </w:rPr>
        <w:drawing>
          <wp:anchor distT="0" distB="0" distL="114300" distR="114300" simplePos="0" relativeHeight="251662336" behindDoc="0" locked="0" layoutInCell="1" allowOverlap="1">
            <wp:simplePos x="0" y="0"/>
            <wp:positionH relativeFrom="column">
              <wp:posOffset>1597025</wp:posOffset>
            </wp:positionH>
            <wp:positionV relativeFrom="paragraph">
              <wp:posOffset>313055</wp:posOffset>
            </wp:positionV>
            <wp:extent cx="532765" cy="349250"/>
            <wp:effectExtent l="0" t="0" r="635" b="1270"/>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8"/>
                    <a:stretch>
                      <a:fillRect/>
                    </a:stretch>
                  </pic:blipFill>
                  <pic:spPr>
                    <a:xfrm>
                      <a:off x="0" y="0"/>
                      <a:ext cx="532765" cy="349250"/>
                    </a:xfrm>
                    <a:prstGeom prst="rect">
                      <a:avLst/>
                    </a:prstGeom>
                  </pic:spPr>
                </pic:pic>
              </a:graphicData>
            </a:graphic>
          </wp:anchor>
        </w:drawing>
      </w: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1</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黑体" w:hAnsi="黑体" w:eastAsia="黑体" w:cs="黑体"/>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660400</wp:posOffset>
            </wp:positionH>
            <wp:positionV relativeFrom="paragraph">
              <wp:posOffset>81280</wp:posOffset>
            </wp:positionV>
            <wp:extent cx="724535" cy="454025"/>
            <wp:effectExtent l="0" t="0" r="6985" b="317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724535" cy="454025"/>
                    </a:xfrm>
                    <a:prstGeom prst="rect">
                      <a:avLst/>
                    </a:prstGeom>
                    <a:noFill/>
                    <a:ln w="9525">
                      <a:noFill/>
                      <a:miter lim="800000"/>
                      <a:headEnd/>
                      <a:tailEnd/>
                    </a:ln>
                  </pic:spPr>
                </pic:pic>
              </a:graphicData>
            </a:graphic>
          </wp:anchor>
        </w:drawing>
      </w:r>
      <w:r>
        <w:rPr>
          <w:rFonts w:hint="eastAsia"/>
          <w:b/>
          <w:color w:val="000000" w:themeColor="text1"/>
          <w:szCs w:val="21"/>
        </w:rPr>
        <w:t>组长签字:                               日期:</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7</w:t>
      </w:r>
      <w:r>
        <w:rPr>
          <w:rFonts w:hint="eastAsia"/>
          <w:b/>
          <w:color w:val="000000" w:themeColor="text1"/>
          <w:szCs w:val="21"/>
        </w:rPr>
        <w:t>月</w:t>
      </w:r>
      <w:r>
        <w:rPr>
          <w:rFonts w:hint="eastAsia"/>
          <w:b/>
          <w:color w:val="000000" w:themeColor="text1"/>
          <w:szCs w:val="21"/>
          <w:lang w:val="en-US" w:eastAsia="zh-CN"/>
        </w:rPr>
        <w:t>11</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2"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2"/>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285C23"/>
    <w:rsid w:val="00F56888"/>
    <w:rsid w:val="01741C34"/>
    <w:rsid w:val="032D49A5"/>
    <w:rsid w:val="036A77ED"/>
    <w:rsid w:val="03AC1314"/>
    <w:rsid w:val="068E1511"/>
    <w:rsid w:val="07864E19"/>
    <w:rsid w:val="07CB4336"/>
    <w:rsid w:val="088F7722"/>
    <w:rsid w:val="0A361DC5"/>
    <w:rsid w:val="0AFE3B30"/>
    <w:rsid w:val="0B392F69"/>
    <w:rsid w:val="0C8F3331"/>
    <w:rsid w:val="0CCB5F6A"/>
    <w:rsid w:val="0CD34583"/>
    <w:rsid w:val="0E157BEE"/>
    <w:rsid w:val="0E30600E"/>
    <w:rsid w:val="0F5868AB"/>
    <w:rsid w:val="0F786C1A"/>
    <w:rsid w:val="0F996511"/>
    <w:rsid w:val="0FF96D6A"/>
    <w:rsid w:val="10556908"/>
    <w:rsid w:val="11150AED"/>
    <w:rsid w:val="126F68C4"/>
    <w:rsid w:val="12AB4E66"/>
    <w:rsid w:val="12BA67F6"/>
    <w:rsid w:val="14D24025"/>
    <w:rsid w:val="14FA72E4"/>
    <w:rsid w:val="153A2ED1"/>
    <w:rsid w:val="160B1F69"/>
    <w:rsid w:val="167A0DB8"/>
    <w:rsid w:val="178B12F3"/>
    <w:rsid w:val="19BD6A0B"/>
    <w:rsid w:val="1B7E3DAF"/>
    <w:rsid w:val="1D171219"/>
    <w:rsid w:val="1E6A1E01"/>
    <w:rsid w:val="1F05036A"/>
    <w:rsid w:val="20163EFC"/>
    <w:rsid w:val="204D0194"/>
    <w:rsid w:val="20C56437"/>
    <w:rsid w:val="210E4A7A"/>
    <w:rsid w:val="21E33592"/>
    <w:rsid w:val="226A28E9"/>
    <w:rsid w:val="22A86B4B"/>
    <w:rsid w:val="235848ED"/>
    <w:rsid w:val="258949D6"/>
    <w:rsid w:val="26100FC0"/>
    <w:rsid w:val="28A7318B"/>
    <w:rsid w:val="296B50A8"/>
    <w:rsid w:val="29EE7C5A"/>
    <w:rsid w:val="2A210503"/>
    <w:rsid w:val="2EFF4BF5"/>
    <w:rsid w:val="309A7816"/>
    <w:rsid w:val="30EB33D6"/>
    <w:rsid w:val="33B04D45"/>
    <w:rsid w:val="33FE31EB"/>
    <w:rsid w:val="346F649C"/>
    <w:rsid w:val="34BC42DF"/>
    <w:rsid w:val="34DD089D"/>
    <w:rsid w:val="36982012"/>
    <w:rsid w:val="373C02A4"/>
    <w:rsid w:val="37D35399"/>
    <w:rsid w:val="38320A95"/>
    <w:rsid w:val="390D5A24"/>
    <w:rsid w:val="39BB5387"/>
    <w:rsid w:val="3A373F8A"/>
    <w:rsid w:val="3B550B9B"/>
    <w:rsid w:val="3CB67060"/>
    <w:rsid w:val="3D3529D2"/>
    <w:rsid w:val="3EE14F1C"/>
    <w:rsid w:val="3F5B3ACB"/>
    <w:rsid w:val="41232982"/>
    <w:rsid w:val="416A33C5"/>
    <w:rsid w:val="42B050AF"/>
    <w:rsid w:val="446937EC"/>
    <w:rsid w:val="44E934DF"/>
    <w:rsid w:val="45C040F9"/>
    <w:rsid w:val="45C43EE2"/>
    <w:rsid w:val="46DC74B0"/>
    <w:rsid w:val="48027886"/>
    <w:rsid w:val="4839752B"/>
    <w:rsid w:val="4A67474A"/>
    <w:rsid w:val="4BAC7050"/>
    <w:rsid w:val="4BE215DF"/>
    <w:rsid w:val="4BFD41FC"/>
    <w:rsid w:val="4C3E13C0"/>
    <w:rsid w:val="4CBD5421"/>
    <w:rsid w:val="4E50251A"/>
    <w:rsid w:val="4ECA0C0E"/>
    <w:rsid w:val="4F1C5FC4"/>
    <w:rsid w:val="512741B0"/>
    <w:rsid w:val="526B2A6F"/>
    <w:rsid w:val="543076DC"/>
    <w:rsid w:val="55E8394B"/>
    <w:rsid w:val="57844F04"/>
    <w:rsid w:val="585125C5"/>
    <w:rsid w:val="589B3C53"/>
    <w:rsid w:val="594063DE"/>
    <w:rsid w:val="59EF1860"/>
    <w:rsid w:val="5A000A07"/>
    <w:rsid w:val="5B191373"/>
    <w:rsid w:val="5BF101FF"/>
    <w:rsid w:val="5E6E5768"/>
    <w:rsid w:val="61E24331"/>
    <w:rsid w:val="6201606B"/>
    <w:rsid w:val="62E13EAC"/>
    <w:rsid w:val="63FA3399"/>
    <w:rsid w:val="64D17510"/>
    <w:rsid w:val="66C459FC"/>
    <w:rsid w:val="67602A4E"/>
    <w:rsid w:val="683A5AD6"/>
    <w:rsid w:val="68FE0DEB"/>
    <w:rsid w:val="69C55C86"/>
    <w:rsid w:val="6A9C50CD"/>
    <w:rsid w:val="6B0333D0"/>
    <w:rsid w:val="6CF27E3D"/>
    <w:rsid w:val="6DF40FED"/>
    <w:rsid w:val="6E8B77D8"/>
    <w:rsid w:val="6FF538A4"/>
    <w:rsid w:val="74ED038B"/>
    <w:rsid w:val="751157BA"/>
    <w:rsid w:val="753307E1"/>
    <w:rsid w:val="76276B70"/>
    <w:rsid w:val="76634680"/>
    <w:rsid w:val="77A871BC"/>
    <w:rsid w:val="784636E4"/>
    <w:rsid w:val="78744192"/>
    <w:rsid w:val="78916EEF"/>
    <w:rsid w:val="78F866D8"/>
    <w:rsid w:val="7AF419F5"/>
    <w:rsid w:val="7BA329E7"/>
    <w:rsid w:val="7DA63EEB"/>
    <w:rsid w:val="7F372562"/>
    <w:rsid w:val="7F3A052B"/>
    <w:rsid w:val="7F8F1459"/>
    <w:rsid w:val="7FA945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99"/>
    <w:rPr>
      <w:rFonts w:ascii="宋体" w:hAnsi="Courier New"/>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19</TotalTime>
  <ScaleCrop>false</ScaleCrop>
  <LinksUpToDate>false</LinksUpToDate>
  <CharactersWithSpaces>5057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2021-07-08T07:54:41Z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0B2D5AD2F7B545C9B7E22B5898262AA8</vt:lpwstr>
  </property>
</Properties>
</file>