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古蔺县飞林商贸有限公司</w:t>
            </w:r>
            <w:bookmarkEnd w:id="4"/>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李正律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hAnsi="Times New Roman" w:eastAsia="方正仿宋简体" w:cs="Times New Roman"/>
                <w:b/>
                <w:lang w:val="en-US" w:eastAsia="zh-CN"/>
              </w:rPr>
            </w:pPr>
            <w:r>
              <w:rPr>
                <w:rFonts w:hint="eastAsia" w:ascii="方正仿宋简体" w:eastAsia="方正仿宋简体"/>
                <w:b/>
              </w:rPr>
              <w:t>不符合事实描述:</w:t>
            </w:r>
            <w:r>
              <w:rPr>
                <w:rFonts w:hint="eastAsia" w:ascii="方正仿宋简体" w:eastAsia="方正仿宋简体"/>
                <w:b/>
                <w:lang w:val="en-US" w:eastAsia="zh-CN"/>
              </w:rPr>
              <w:t>法律法规条款中未涉及</w:t>
            </w:r>
            <w:r>
              <w:rPr>
                <w:rFonts w:hint="eastAsia" w:ascii="方正仿宋简体" w:hAnsi="Times New Roman" w:eastAsia="方正仿宋简体" w:cs="Times New Roman"/>
                <w:b/>
                <w:lang w:val="en-US" w:eastAsia="zh-CN"/>
              </w:rPr>
              <w:t>关于食品安全和环境安全的相关法律法规条款，不符合GB/T 24001-2016 idt ISO 14001:2015标准6.1.3条款：a） 确定并获取最新的适用于组织的危险源、职业健康安全风险和职业健康安全管理体系的法律法规要求和其他要求；和ISO45001：2018标准6.1.3条款：a） 确定并获取最新的适用于组织的危险源、职业健康安全风险和职业健康安全管理体系的法律法规要求和其他要求；</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3C7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2</TotalTime>
  <ScaleCrop>false</ScaleCrop>
  <LinksUpToDate>false</LinksUpToDate>
  <CharactersWithSpaces>687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宋明珠</cp:lastModifiedBy>
  <cp:lastPrinted>2019-05-13T03:02:00Z</cp:lastPrinted>
  <dcterms:modified xsi:type="dcterms:W3CDTF">2021-07-06T02:39:04Z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E1021343BA8C4B92A0501D65560CE8E5</vt:lpwstr>
  </property>
</Properties>
</file>