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11"/>
        <w:gridCol w:w="131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古蔺县会丽姐农业有限公司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O：29.07.08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E：29.07.08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O：29.07.08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E：29.07.08</w:t>
            </w:r>
          </w:p>
        </w:tc>
        <w:tc>
          <w:tcPr>
            <w:tcW w:w="13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客户下单——采购检测合格品入库——分拣出库——装车配送———销售回单—对账回款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特殊过程：销售过程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t>控制措施：建有相应的过程作业指导书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重要环境因素：1）潜在火灾爆炸 ；2）固体废弃物排放。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采取分类收集、管理方案和预案措施管理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不可接受风险源：1）火灾 ；2）中暑；3）交通事故；4）触电；5）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食物中毒/疾病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。</w:t>
            </w:r>
            <w:r>
              <w:rPr>
                <w:rFonts w:hint="eastAsia"/>
                <w:b/>
                <w:sz w:val="20"/>
              </w:rPr>
              <w:t>采取管理方案和预案措施管理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中华人民共和国环境保护法、中华人民共和国消防法、中华人民共和国固体废物污染环境防治法、预包装食品中的致敏原成分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GB/T 23779-2009、食品安全国家标准 预包装食品营养标签通则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28050-2011、运输包装用瓦楞纸箱 单瓦楞纸箱和双瓦楞纸箱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GBT6543-2008、食品企业通用卫生规范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14881-2013、食品安全国家标准 预包装食品标签通则</w:t>
            </w:r>
            <w:r>
              <w:rPr>
                <w:rFonts w:hint="eastAsia"/>
                <w:b/>
                <w:sz w:val="20"/>
                <w:lang w:val="en-US" w:eastAsia="zh-CN"/>
              </w:rPr>
              <w:tab/>
            </w:r>
            <w:r>
              <w:rPr>
                <w:rFonts w:hint="eastAsia"/>
                <w:b/>
                <w:sz w:val="20"/>
                <w:lang w:val="en-US" w:eastAsia="zh-CN"/>
              </w:rPr>
              <w:t>GB 7718-2011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出具</w:t>
            </w:r>
            <w:r>
              <w:rPr>
                <w:rFonts w:hint="eastAsia"/>
                <w:b/>
                <w:sz w:val="20"/>
              </w:rPr>
              <w:t>有食品检验报告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86995</wp:posOffset>
            </wp:positionV>
            <wp:extent cx="401955" cy="361950"/>
            <wp:effectExtent l="0" t="0" r="9525" b="381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64770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2021年7月5日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2021年7月5</w:t>
      </w:r>
      <w:bookmarkStart w:id="5" w:name="_GoBack"/>
      <w:bookmarkEnd w:id="5"/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BA6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2021-07-04T16:23:19Z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6F45DEF9AD744BF8B17001BBCB6E8699</vt:lpwstr>
  </property>
</Properties>
</file>