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0688-2021-Q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德阳市万全机电物资有限公司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17.10.02,17.12.04,29.12.00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德阳市万全机电物资有限公司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四川省德阳市区华山北路421号东电电器公司小区1栋A-7号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四川省德阳市旌阳区韶山路南段9号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杨吉英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杨吉英</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一般机械金属零部件（含标准紧固件）的加工、销售，五金工具、刀刃、量具的销售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17.10.02;17.12.04;29.12.00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eastAsia="宋体" w:cs="Times New Roman"/>
          <w:color w:val="000000"/>
          <w:sz w:val="20"/>
          <w:szCs w:val="20"/>
          <w:lang w:val="en-US" w:eastAsia="zh-CN"/>
        </w:rPr>
        <w:t>管理层、综合管理部、生产部、技术质量部、市场部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color w:val="000000"/>
          <w:sz w:val="20"/>
          <w:szCs w:val="20"/>
          <w:lang w:val="en-US" w:eastAsia="zh-CN"/>
        </w:rPr>
        <w:t>生产现场、办公场所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Times New Roman" w:hAnsi="Times New Roman" w:eastAsia="宋体" w:cs="Times New Roman"/>
                <w:szCs w:val="22"/>
                <w:lang w:val="en-US" w:eastAsia="zh-CN"/>
              </w:rPr>
            </w:pPr>
            <w:r>
              <w:rPr>
                <w:rFonts w:hint="eastAsia" w:ascii="宋体" w:hAnsi="宋体"/>
                <w:b/>
                <w:color w:val="000000"/>
                <w:sz w:val="20"/>
                <w:szCs w:val="20"/>
              </w:rPr>
              <w:t>产品：</w:t>
            </w:r>
            <w:r>
              <w:rPr>
                <w:rFonts w:hint="eastAsia" w:ascii="Times New Roman" w:hAnsi="Times New Roman" w:eastAsia="宋体" w:cs="Times New Roman"/>
                <w:szCs w:val="22"/>
                <w:lang w:val="en-US" w:eastAsia="zh-CN"/>
              </w:rPr>
              <w:t xml:space="preserve">一般机械金属零部件（含标准紧固件）的加工、销售，五金工具、刀刃、量具的销售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管理层、综合管理部、生产部、技术质量部、市场部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生产部、技术质量部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pStyle w:val="7"/>
              <w:spacing w:before="0" w:beforeAutospacing="0" w:after="0" w:afterAutospacing="0" w:line="240" w:lineRule="exact"/>
              <w:jc w:val="both"/>
              <w:rPr>
                <w:rFonts w:hint="eastAsia" w:ascii="宋体" w:eastAsia="宋体"/>
                <w:color w:val="000000"/>
                <w:sz w:val="20"/>
                <w:szCs w:val="20"/>
                <w:highlight w:val="green"/>
                <w:lang w:eastAsia="zh-CN"/>
              </w:rPr>
            </w:pPr>
            <w:r>
              <w:rPr>
                <w:rFonts w:hint="eastAsia" w:ascii="宋体" w:hAnsi="宋体"/>
                <w:color w:val="000000"/>
                <w:sz w:val="20"/>
                <w:szCs w:val="20"/>
              </w:rPr>
              <w:t>受审核方位于</w:t>
            </w:r>
            <w:r>
              <w:rPr>
                <w:rFonts w:hint="eastAsia" w:ascii="宋体" w:hAnsi="宋体"/>
                <w:color w:val="000000"/>
                <w:sz w:val="20"/>
                <w:szCs w:val="20"/>
                <w:highlight w:val="none"/>
              </w:rPr>
              <w:t>：</w:t>
            </w:r>
            <w:r>
              <w:rPr>
                <w:rFonts w:hint="eastAsia" w:cs="Times New Roman"/>
                <w:color w:val="auto"/>
                <w:kern w:val="2"/>
                <w:sz w:val="21"/>
                <w:szCs w:val="21"/>
                <w:lang w:val="en-US" w:eastAsia="zh-CN" w:bidi="ar-SA"/>
              </w:rPr>
              <w:t>四川省德阳市旌阳区韶山路南段9号</w:t>
            </w:r>
            <w:r>
              <w:rPr>
                <w:rFonts w:hint="eastAsia" w:ascii="宋体" w:hAnsi="宋体" w:cs="Times New Roman"/>
                <w:color w:val="auto"/>
                <w:kern w:val="2"/>
                <w:sz w:val="21"/>
                <w:szCs w:val="21"/>
                <w:lang w:val="en-US" w:eastAsia="zh-CN" w:bidi="ar-SA"/>
              </w:rPr>
              <w:t>(旌湖苑西南）</w:t>
            </w:r>
          </w:p>
          <w:p>
            <w:pPr>
              <w:tabs>
                <w:tab w:val="left" w:pos="360"/>
              </w:tabs>
              <w:ind w:left="357" w:hanging="357"/>
              <w:rPr>
                <w:rFonts w:ascii="宋体"/>
                <w:color w:val="FF0000"/>
                <w:sz w:val="20"/>
                <w:szCs w:val="20"/>
                <w:highlight w:val="red"/>
              </w:rPr>
            </w:pPr>
            <w:r>
              <w:rPr>
                <w:rFonts w:hint="eastAsia" w:ascii="宋体" w:hAnsi="宋体"/>
                <w:color w:val="000000"/>
                <w:sz w:val="20"/>
                <w:szCs w:val="20"/>
              </w:rPr>
              <w:t>其使</w:t>
            </w:r>
            <w:r>
              <w:rPr>
                <w:rFonts w:hint="eastAsia" w:ascii="宋体" w:hAnsi="宋体"/>
                <w:color w:val="000000"/>
                <w:sz w:val="20"/>
                <w:szCs w:val="20"/>
                <w:highlight w:val="none"/>
              </w:rPr>
              <w:t>用的建筑设施是：□自建办公用房□自建厂房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租用办公用房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highlight w:val="none"/>
              </w:rPr>
              <w:t>运作方式：</w:t>
            </w:r>
            <w:r>
              <w:rPr>
                <w:rFonts w:hint="eastAsia" w:ascii="宋体" w:hAnsi="宋体"/>
                <w:color w:val="000000"/>
                <w:spacing w:val="-10"/>
                <w:sz w:val="20"/>
                <w:szCs w:val="20"/>
                <w:highlight w:val="none"/>
              </w:rPr>
              <w:t>□</w:t>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ascii="宋体" w:hAnsi="宋体" w:eastAsia="宋体" w:cs="Times New Roman"/>
                <w:szCs w:val="21"/>
                <w:highlight w:val="none"/>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Times New Roman"/>
                <w:szCs w:val="21"/>
                <w:lang w:val="en-US" w:eastAsia="zh-CN"/>
              </w:rPr>
              <w:t>普通机械</w:t>
            </w:r>
            <w:r>
              <w:rPr>
                <w:rFonts w:hint="eastAsia" w:ascii="宋体" w:hAnsi="宋体" w:eastAsia="宋体" w:cs="Times New Roman"/>
                <w:szCs w:val="21"/>
                <w:lang w:eastAsia="zh-CN"/>
              </w:rPr>
              <w:t>加工</w:t>
            </w:r>
            <w:r>
              <w:rPr>
                <w:rFonts w:hint="eastAsia" w:ascii="宋体" w:hAnsi="宋体" w:eastAsia="宋体" w:cs="Times New Roman"/>
                <w:szCs w:val="21"/>
                <w:highlight w:val="none"/>
              </w:rPr>
              <w:t>工艺装备基本术语GB/T 1008-2008</w:t>
            </w:r>
            <w:r>
              <w:rPr>
                <w:rFonts w:hint="eastAsia" w:ascii="宋体" w:hAnsi="宋体" w:eastAsia="宋体" w:cs="Times New Roman"/>
                <w:szCs w:val="21"/>
                <w:highlight w:val="none"/>
                <w:lang w:eastAsia="zh-CN"/>
              </w:rPr>
              <w:t>、</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 xml:space="preserve">技术产品文件 </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p>
          <w:p>
            <w:pPr>
              <w:spacing w:line="400" w:lineRule="exact"/>
              <w:rPr>
                <w:rFonts w:hint="eastAsia" w:ascii="宋体" w:hAnsi="宋体" w:eastAsia="宋体" w:cs="Times New Roman"/>
                <w:szCs w:val="21"/>
                <w:lang w:val="en-US" w:eastAsia="zh-CN"/>
              </w:rPr>
            </w:pP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rPr>
              <w:t>产品流程</w:t>
            </w:r>
          </w:p>
          <w:p>
            <w:pPr>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一般机械金属零部件（含标准紧固件）的生产流程：</w:t>
            </w:r>
          </w:p>
          <w:p>
            <w:pPr>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来料－材料验收－粗加－检验－精加－检验－入库</w:t>
            </w:r>
          </w:p>
          <w:p>
            <w:pPr>
              <w:spacing w:line="400" w:lineRule="exact"/>
              <w:rPr>
                <w:rFonts w:hint="eastAsia" w:ascii="宋体" w:hAnsi="宋体" w:eastAsia="宋体" w:cs="Times New Roman"/>
                <w:szCs w:val="21"/>
                <w:highlight w:val="none"/>
              </w:rPr>
            </w:pPr>
          </w:p>
          <w:p>
            <w:pPr>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五金工具、刀刃、量具的销售流程：</w:t>
            </w:r>
          </w:p>
          <w:p>
            <w:pPr>
              <w:spacing w:line="400" w:lineRule="exact"/>
              <w:rPr>
                <w:rFonts w:hint="eastAsia" w:ascii="宋体" w:hAnsi="宋体"/>
                <w:color w:val="000000"/>
                <w:sz w:val="20"/>
                <w:szCs w:val="20"/>
              </w:rPr>
            </w:pPr>
            <w:r>
              <w:rPr>
                <w:rFonts w:hint="eastAsia" w:ascii="宋体" w:hAnsi="宋体" w:eastAsia="宋体" w:cs="Times New Roman"/>
                <w:szCs w:val="21"/>
                <w:highlight w:val="none"/>
              </w:rPr>
              <w:t>市场调查-客户沟通-需求评审-签订合同-物资采购-物资交付-售后服务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highlight w:val="none"/>
                <w:lang w:val="en-US"/>
              </w:rPr>
            </w:pPr>
            <w:r>
              <w:rPr>
                <w:rFonts w:hint="eastAsia" w:ascii="宋体" w:hAnsi="宋体"/>
                <w:color w:val="000000"/>
                <w:sz w:val="20"/>
                <w:szCs w:val="20"/>
                <w:highlight w:val="none"/>
              </w:rPr>
              <w:t>关键过程有：</w:t>
            </w:r>
            <w:r>
              <w:rPr>
                <w:rFonts w:hint="eastAsia" w:ascii="宋体" w:hAnsi="宋体"/>
                <w:sz w:val="21"/>
                <w:szCs w:val="21"/>
                <w:highlight w:val="none"/>
                <w:lang w:val="en-US" w:eastAsia="zh-CN"/>
              </w:rPr>
              <w:t>精加、销售过程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highlight w:val="none"/>
              </w:rPr>
            </w:pPr>
            <w:r>
              <w:rPr>
                <w:rFonts w:hint="eastAsia" w:ascii="宋体" w:hAnsi="宋体"/>
                <w:color w:val="000000"/>
                <w:sz w:val="20"/>
                <w:szCs w:val="20"/>
                <w:highlight w:val="none"/>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hAnsi="宋体"/>
                <w:color w:val="000000"/>
                <w:sz w:val="20"/>
                <w:szCs w:val="20"/>
                <w:highlight w:val="none"/>
                <w:lang w:val="en-US"/>
              </w:rPr>
            </w:pPr>
            <w:r>
              <w:rPr>
                <w:rFonts w:hint="eastAsia" w:ascii="宋体" w:hAnsi="宋体"/>
                <w:color w:val="000000"/>
                <w:sz w:val="20"/>
                <w:szCs w:val="20"/>
                <w:highlight w:val="none"/>
              </w:rPr>
              <w:t>需要确认过程：</w:t>
            </w:r>
            <w:r>
              <w:rPr>
                <w:rFonts w:hint="eastAsia" w:ascii="宋体" w:hAnsi="宋体"/>
                <w:sz w:val="21"/>
                <w:szCs w:val="21"/>
                <w:highlight w:val="none"/>
                <w:lang w:val="en-US" w:eastAsia="zh-CN"/>
              </w:rPr>
              <w:t>焊接、销售过程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none"/>
              </w:rPr>
            </w:pP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否明确了过程的确认方法</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是</w:t>
            </w:r>
            <w:r>
              <w:rPr>
                <w:rFonts w:hint="eastAsia" w:ascii="宋体"/>
                <w:color w:val="000000"/>
                <w:sz w:val="20"/>
                <w:szCs w:val="20"/>
                <w:highlight w:val="none"/>
              </w:rPr>
              <w:t>否明确了过程的确认准则</w:t>
            </w:r>
            <w:r>
              <w:rPr>
                <w:rFonts w:hint="eastAsia" w:asci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highlight w:val="none"/>
                <w:lang w:val="en-US" w:eastAsia="zh-CN"/>
              </w:rPr>
            </w:pPr>
            <w:r>
              <w:rPr>
                <w:rFonts w:hint="eastAsia" w:ascii="宋体" w:hAnsi="宋体"/>
                <w:color w:val="000000"/>
                <w:sz w:val="20"/>
                <w:szCs w:val="20"/>
                <w:highlight w:val="none"/>
              </w:rPr>
              <w:t>外包过程有：</w:t>
            </w:r>
            <w:r>
              <w:rPr>
                <w:rFonts w:hint="eastAsia" w:ascii="宋体" w:hAnsi="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hAnsi="宋体" w:eastAsia="宋体"/>
                <w:sz w:val="20"/>
                <w:szCs w:val="20"/>
              </w:rPr>
              <w:t>数控</w:t>
            </w:r>
            <w:r>
              <w:rPr>
                <w:rFonts w:hint="eastAsia" w:ascii="宋体" w:hAnsi="宋体" w:eastAsia="宋体" w:cs="Times New Roman"/>
                <w:color w:val="auto"/>
                <w:szCs w:val="21"/>
              </w:rPr>
              <w:t>车床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摇臂钻床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铣床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钻床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角磨机</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highlight w:val="none"/>
                <w:lang w:val="en-US" w:eastAsia="zh-CN"/>
              </w:rPr>
            </w:pPr>
            <w:r>
              <w:rPr>
                <w:rFonts w:hint="eastAsia" w:ascii="宋体"/>
                <w:color w:val="000000"/>
                <w:sz w:val="20"/>
                <w:szCs w:val="20"/>
                <w:highlight w:val="none"/>
              </w:rPr>
              <w:t>特种设备：</w:t>
            </w:r>
            <w:r>
              <w:rPr>
                <w:rFonts w:hint="eastAsia"/>
                <w:color w:val="000000" w:themeColor="text1"/>
                <w:sz w:val="21"/>
                <w:szCs w:val="21"/>
                <w:highlight w:val="none"/>
                <w:lang w:val="en-US" w:eastAsia="zh-CN"/>
              </w:rPr>
              <w:t>行车</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highlight w:val="none"/>
              </w:rPr>
              <w:t>监视和测量设备（请简述主要监视和测量设备）：</w:t>
            </w:r>
            <w:r>
              <w:rPr>
                <w:rFonts w:hint="eastAsia" w:ascii="宋体" w:hAnsi="宋体" w:cs="Times New Roman"/>
                <w:color w:val="auto"/>
                <w:szCs w:val="21"/>
                <w:highlight w:val="none"/>
                <w:lang w:val="en-US" w:eastAsia="zh-CN"/>
              </w:rPr>
              <w:t>游标卡尺，千分表，百分表等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22</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adjustRightInd w:val="0"/>
              <w:snapToGrid w:val="0"/>
              <w:rPr>
                <w:rFonts w:hint="default" w:ascii="宋体" w:hAnsi="宋体" w:eastAsia="宋体" w:cs="Times New Roman"/>
                <w:b/>
                <w:color w:val="000000"/>
                <w:sz w:val="20"/>
                <w:szCs w:val="20"/>
                <w:lang w:val="en-US" w:eastAsia="zh-CN"/>
              </w:rPr>
            </w:pPr>
            <w:r>
              <w:rPr>
                <w:rFonts w:hint="eastAsia" w:ascii="宋体" w:hAnsi="宋体"/>
                <w:b/>
                <w:color w:val="000000"/>
                <w:sz w:val="20"/>
                <w:szCs w:val="20"/>
              </w:rPr>
              <w:t>重点审核部门：</w:t>
            </w:r>
            <w:r>
              <w:rPr>
                <w:rFonts w:hint="eastAsia" w:ascii="宋体" w:hAnsi="宋体" w:eastAsia="宋体" w:cs="Times New Roman"/>
                <w:b/>
                <w:color w:val="000000"/>
                <w:sz w:val="20"/>
                <w:szCs w:val="20"/>
                <w:lang w:val="en-US" w:eastAsia="zh-CN"/>
              </w:rPr>
              <w:t>生产部、市场部、技术质量部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38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w:t>
            </w:r>
            <w:r>
              <w:rPr>
                <w:rFonts w:hint="eastAsia" w:eastAsia="宋体"/>
                <w:sz w:val="21"/>
                <w:szCs w:val="21"/>
                <w:highlight w:val="none"/>
              </w:rPr>
              <w:t>》，于</w:t>
            </w:r>
            <w:r>
              <w:rPr>
                <w:rFonts w:hint="eastAsia" w:ascii="宋体" w:hAnsi="宋体" w:cs="宋体"/>
                <w:color w:val="000000"/>
                <w:szCs w:val="24"/>
                <w:lang w:eastAsia="zh-CN"/>
              </w:rPr>
              <w:t>2021年5月30日-2021年5月31日</w:t>
            </w:r>
            <w:r>
              <w:rPr>
                <w:rFonts w:hint="eastAsia" w:eastAsia="宋体"/>
                <w:sz w:val="21"/>
                <w:szCs w:val="21"/>
                <w:highlight w:val="none"/>
              </w:rPr>
              <w:t>进行了内部审核。内部审核组组成</w:t>
            </w:r>
            <w:r>
              <w:rPr>
                <w:rFonts w:hint="eastAsia" w:eastAsia="宋体"/>
                <w:sz w:val="21"/>
                <w:szCs w:val="21"/>
                <w:highlight w:val="none"/>
                <w:lang w:eastAsia="zh-CN"/>
              </w:rPr>
              <w:t>：</w:t>
            </w:r>
            <w:r>
              <w:rPr>
                <w:rFonts w:hint="eastAsia" w:ascii="宋体" w:hAnsi="宋体"/>
                <w:szCs w:val="21"/>
              </w:rPr>
              <w:t>审核组长：</w:t>
            </w:r>
            <w:r>
              <w:rPr>
                <w:rFonts w:hint="eastAsia" w:ascii="宋体" w:hAnsi="宋体"/>
                <w:szCs w:val="21"/>
                <w:lang w:val="en-US" w:eastAsia="zh-CN"/>
              </w:rPr>
              <w:t>黄斌</w:t>
            </w:r>
            <w:r>
              <w:rPr>
                <w:rFonts w:hint="eastAsia" w:ascii="宋体" w:hAnsi="宋体"/>
                <w:szCs w:val="21"/>
              </w:rPr>
              <w:t xml:space="preserve">     组员</w:t>
            </w:r>
            <w:r>
              <w:rPr>
                <w:rFonts w:hint="eastAsia" w:ascii="宋体" w:hAnsi="宋体" w:cs="Times New Roman"/>
                <w:szCs w:val="21"/>
              </w:rPr>
              <w:t>：黄善兵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0"/>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0"/>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 xml:space="preserve">a.GB/T </w:t>
            </w:r>
            <w:r>
              <w:rPr>
                <w:rFonts w:hint="eastAsia" w:ascii="仿宋" w:hAnsi="仿宋" w:eastAsia="仿宋" w:cs="Times New Roman"/>
                <w:sz w:val="24"/>
                <w:highlight w:val="none"/>
              </w:rPr>
              <w:t>19001</w:t>
            </w:r>
            <w:r>
              <w:rPr>
                <w:rFonts w:hint="eastAsia" w:ascii="仿宋" w:hAnsi="仿宋" w:eastAsia="仿宋"/>
                <w:sz w:val="24"/>
                <w:highlight w:val="none"/>
              </w:rPr>
              <w:t>:2016、标准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numPr>
                <w:ilvl w:val="0"/>
                <w:numId w:val="0"/>
              </w:numPr>
              <w:spacing w:line="34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本次内审对2015版标准体系文件管理手册、体系文件进行了全面检查，通过审核可以看出管理体系已基本进入了正常状态，但仍存在一些问题，需要完善现场作业及加强各类人员的培训。</w:t>
            </w:r>
          </w:p>
          <w:p>
            <w:pPr>
              <w:numPr>
                <w:ilvl w:val="0"/>
                <w:numId w:val="0"/>
              </w:numPr>
              <w:spacing w:line="34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各部门需要对内审开出的不符合项报告认真整改，并做到举一反三，以点带面，通过纠正预防措施的执行，使管理体系正常而有效运行。</w:t>
            </w:r>
          </w:p>
          <w:p>
            <w:pPr>
              <w:numPr>
                <w:ilvl w:val="0"/>
                <w:numId w:val="0"/>
              </w:numPr>
              <w:spacing w:line="340" w:lineRule="exact"/>
              <w:ind w:firstLine="480" w:firstLineChars="200"/>
              <w:rPr>
                <w:rFonts w:ascii="宋体" w:hAnsi="宋体"/>
                <w:b/>
                <w:color w:val="000000"/>
                <w:sz w:val="20"/>
                <w:szCs w:val="20"/>
                <w:highlight w:val="none"/>
              </w:rPr>
            </w:pPr>
            <w:r>
              <w:rPr>
                <w:rFonts w:hint="eastAsia" w:ascii="仿宋" w:hAnsi="仿宋" w:eastAsia="仿宋" w:cs="Times New Roman"/>
                <w:sz w:val="24"/>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w:t>
            </w:r>
            <w:r>
              <w:rPr>
                <w:rFonts w:hint="eastAsia" w:ascii="Times New Roman" w:hAnsi="Times New Roman" w:eastAsia="宋体" w:cs="Times New Roman"/>
                <w:szCs w:val="21"/>
                <w:highlight w:val="none"/>
              </w:rPr>
              <w:t>于</w:t>
            </w:r>
            <w:r>
              <w:rPr>
                <w:rFonts w:hint="eastAsia" w:ascii="宋体" w:hAnsi="宋体" w:cs="宋体"/>
                <w:color w:val="000000"/>
                <w:szCs w:val="24"/>
                <w:lang w:eastAsia="zh-CN"/>
              </w:rPr>
              <w:t>2021年6月17日</w:t>
            </w:r>
            <w:r>
              <w:rPr>
                <w:rFonts w:hint="eastAsia" w:ascii="Times New Roman" w:hAnsi="Times New Roman" w:eastAsia="宋体" w:cs="Times New Roman"/>
                <w:szCs w:val="21"/>
                <w:highlight w:val="none"/>
              </w:rPr>
              <w:t>就管理</w:t>
            </w:r>
            <w:r>
              <w:rPr>
                <w:rFonts w:hint="eastAsia"/>
                <w:szCs w:val="21"/>
                <w:highlight w:val="none"/>
              </w:rPr>
              <w:t>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u w:val="single"/>
          <w:lang w:val="en-US" w:eastAsia="zh-CN"/>
        </w:rPr>
      </w:pPr>
      <w:r>
        <w:rPr>
          <w:rFonts w:ascii="宋体" w:hAnsi="宋体"/>
          <w:b/>
          <w:color w:val="000000"/>
          <w:sz w:val="20"/>
          <w:szCs w:val="20"/>
        </w:rPr>
        <w:t>QMS:</w:t>
      </w:r>
      <w:r>
        <w:rPr>
          <w:rFonts w:hint="eastAsia" w:ascii="宋体" w:hAnsi="宋体"/>
          <w:b/>
          <w:color w:val="000000"/>
          <w:sz w:val="20"/>
          <w:szCs w:val="20"/>
          <w:lang w:val="en-US" w:eastAsia="zh-CN"/>
        </w:rPr>
        <w:t xml:space="preserve"> </w:t>
      </w:r>
      <w:r>
        <w:rPr>
          <w:rFonts w:hint="eastAsia"/>
          <w:sz w:val="20"/>
          <w:u w:val="single"/>
          <w:lang w:val="en-US" w:eastAsia="zh-CN"/>
        </w:rPr>
        <w:t>一般机械金属零部件（含标准紧固件）的加工、销售，五金工具、刀刃、量具的销售</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1889125</wp:posOffset>
            </wp:positionH>
            <wp:positionV relativeFrom="paragraph">
              <wp:posOffset>17780</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683895" cy="271145"/>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eastAsia="宋体"/>
          <w:b/>
          <w:color w:val="000000"/>
          <w:sz w:val="26"/>
          <w:szCs w:val="26"/>
          <w:lang w:eastAsia="zh-CN"/>
        </w:rPr>
      </w:pPr>
      <w:r>
        <w:rPr>
          <w:rFonts w:hint="eastAsia" w:ascii="宋体" w:hAnsi="宋体"/>
          <w:b/>
          <w:color w:val="000000"/>
        </w:rPr>
        <w:t>日期</w:t>
      </w:r>
      <w:r>
        <w:rPr>
          <w:rFonts w:ascii="宋体" w:hAnsi="宋体"/>
          <w:b/>
          <w:color w:val="000000"/>
        </w:rPr>
        <w:t xml:space="preserve">:  </w:t>
      </w:r>
      <w:r>
        <w:rPr>
          <w:rFonts w:hint="eastAsia"/>
          <w:color w:val="000000"/>
          <w:szCs w:val="21"/>
          <w:lang w:eastAsia="zh-CN"/>
        </w:rPr>
        <w:t>2021年7月1日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b/>
          <w:sz w:val="21"/>
        </w:rPr>
        <w:t>四川盛博机电设备有限公司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4" w:name="_GoBack"/>
            <w:bookmarkEnd w:id="24"/>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rFonts w:hint="eastAsia" w:eastAsia="宋体"/>
                <w:b/>
                <w:color w:val="000000"/>
                <w:sz w:val="22"/>
                <w:szCs w:val="22"/>
                <w:lang w:eastAsia="zh-CN"/>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color w:val="000000"/>
                <w:szCs w:val="21"/>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eastAsia="宋体"/>
                <w:b/>
                <w:color w:val="000000"/>
                <w:sz w:val="22"/>
                <w:szCs w:val="22"/>
                <w:lang w:eastAsia="zh-CN"/>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eastAsia="宋体"/>
                <w:b/>
                <w:color w:val="000000"/>
                <w:sz w:val="22"/>
                <w:szCs w:val="22"/>
                <w:lang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lang w:eastAsia="zh-CN"/>
              </w:rPr>
              <w:t>2021年7月1日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A05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2021-07-19T03:20:22Z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3858949C6FF348C987C20BCB956AF082</vt:lpwstr>
  </property>
</Properties>
</file>