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</w:t>
      </w:r>
      <w:r>
        <w:rPr>
          <w:rFonts w:hint="eastAsia" w:ascii="Times New Roman" w:hAnsi="Times New Roman" w:eastAsia="宋体" w:cs="Times New Roman"/>
          <w:sz w:val="24"/>
          <w:szCs w:val="24"/>
        </w:rPr>
        <w:t>层、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综合管理部、</w:t>
      </w:r>
      <w:r>
        <w:rPr>
          <w:rFonts w:hint="eastAsia" w:ascii="Times New Roman" w:hAnsi="Times New Roman" w:eastAsia="宋体" w:cs="Times New Roman"/>
          <w:sz w:val="24"/>
          <w:szCs w:val="24"/>
        </w:rPr>
        <w:t>生产部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技术质量部、</w:t>
      </w:r>
      <w:r>
        <w:rPr>
          <w:rFonts w:hint="eastAsia" w:ascii="Times New Roman" w:hAnsi="Times New Roman" w:eastAsia="宋体" w:cs="Times New Roman"/>
          <w:sz w:val="24"/>
          <w:szCs w:val="24"/>
        </w:rPr>
        <w:t>市场部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陪</w:t>
      </w:r>
      <w:r>
        <w:rPr>
          <w:rFonts w:hint="eastAsia"/>
          <w:sz w:val="24"/>
          <w:szCs w:val="24"/>
        </w:rPr>
        <w:t>同人员：</w:t>
      </w:r>
      <w:r>
        <w:rPr>
          <w:rFonts w:hint="eastAsia"/>
          <w:sz w:val="24"/>
          <w:szCs w:val="24"/>
          <w:lang w:val="en-US" w:eastAsia="zh-CN"/>
        </w:rPr>
        <w:t>黄斌，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德阳市万全机电物资有限公司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从事</w:t>
            </w:r>
            <w:bookmarkStart w:id="0" w:name="审核范围"/>
            <w:r>
              <w:rPr>
                <w:sz w:val="20"/>
              </w:rPr>
              <w:t>一般机械金属零部件（含标准紧固件）的加工、销售，五金工具、刀刃、量具的销售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。主营产品：</w:t>
            </w:r>
            <w:r>
              <w:rPr>
                <w:sz w:val="20"/>
              </w:rPr>
              <w:t>般机械金属零部件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五金工具、刀刃、量具</w:t>
            </w:r>
            <w:r>
              <w:rPr>
                <w:rFonts w:hint="eastAsia"/>
                <w:szCs w:val="21"/>
                <w:lang w:val="en-US" w:eastAsia="zh-CN"/>
              </w:rPr>
              <w:t>等。现有员工22人，目前经营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个部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门：综合管理部、生产部、技术质量部、市场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6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四川省德阳市旌阳区韶山路南段9号(旌湖苑西南）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一般机械零件加工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，与申请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铣床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钻床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角磨机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精铣加工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特殊过程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：焊接、销售过程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体系运行时间：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2020年1月9日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组织实际与管理体系文件化信息描述基本一致。有管理层、综合管理部、生产部、市场部。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</w:t>
            </w:r>
            <w:r>
              <w:rPr>
                <w:rFonts w:hint="eastAsia" w:ascii="宋体" w:hAnsi="宋体" w:eastAsia="宋体" w:cs="Times New Roman"/>
                <w:szCs w:val="21"/>
              </w:rPr>
              <w:t>华人民共和国劳动法、中华人民共和国安全消防法、中华人民共和国产品质量法、中华人民共和国消费者权益法等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普通机械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加工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工艺装备基本术语GB/T 1008-2008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普通机械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加工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定位、夹紧符号JB/T 5061-2006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械加工工艺守则JB/T 9168-2006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 xml:space="preserve">技术产品文件 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普通机械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加工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定位、夹紧符号表示法GB/T 24740-2009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金属切削机床 术语GB/T 6477-2008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倒圆半径和倒角高度尺寸的极限偏差数值GB/T1804-2000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角度尺寸的极限偏差数值GB/T1804-2000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产品流程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一般机械金属零部件（含标准紧固件）的生产流程：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来料－材料验收－粗加－检验－精加－检验－入库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五金工具、刀刃、量具的销售流程：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市场调查-客户沟通-需求评审-签订合同-物资采购-物资交付-售后服务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t>关健过程：精加、销售过程</w:t>
            </w:r>
            <w:r>
              <w:br w:type="textWrapping"/>
            </w:r>
            <w:r>
              <w:t>特殊过程：焊接、销售过程</w:t>
            </w:r>
            <w:r>
              <w:br w:type="textWrapping"/>
            </w:r>
            <w:r>
              <w:t>外包过程：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公司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一般机械金属零部件（含标准紧固件）的加工、销售，五金工具、刀刃、量具的销售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工艺成熟,按国家规定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合同履约率≥98%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产品一次交付合格率≥97%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顾客满意度大于90分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毛坯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操作人员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主要设备为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数控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摇臂钻床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铣床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钻床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角磨机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13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行车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游标卡尺，千分表，百分表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等。采取外检，提供有检测设备检定或校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准证书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以顾客满意为指引、力争行业领先水平、持续改进、引领国内、走向世界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2021年5月30日-2021年5月31日</w:t>
            </w: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80" w:lineRule="exact"/>
              <w:rPr>
                <w:rFonts w:hint="eastAsia" w:ascii="宋体" w:hAnsi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审核组长：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黄斌</w:t>
            </w:r>
            <w:r>
              <w:rPr>
                <w:rFonts w:hint="eastAsia" w:ascii="宋体" w:hAnsi="宋体"/>
                <w:szCs w:val="21"/>
              </w:rPr>
              <w:t xml:space="preserve">     组员</w:t>
            </w:r>
            <w:r>
              <w:rPr>
                <w:rFonts w:hint="eastAsia" w:ascii="宋体" w:hAnsi="宋体" w:cs="Times New Roman"/>
                <w:szCs w:val="21"/>
              </w:rPr>
              <w:t>：黄善兵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有：《内审不符合项报告》1份 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涉及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生产部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Q7.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1.3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条款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生产部未能提供2021年3月份设备保养记录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2021年6月17日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  <w:bookmarkStart w:id="1" w:name="_GoBack"/>
            <w:bookmarkEnd w:id="1"/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进一步强化质量管理体系标准的培训。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default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重点审核部门：生产部、市场部、技术质量部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26089F"/>
    <w:rsid w:val="40095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36</TotalTime>
  <ScaleCrop>false</ScaleCrop>
  <LinksUpToDate>false</LinksUpToDate>
  <CharactersWithSpaces>100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2021-07-19T07:05:58Z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14F487B9010143FBB9E450FED7CD2EEC</vt:lpwstr>
  </property>
</Properties>
</file>