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眉山市金喜机车车辆维修服务有限公司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巫传莲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巫传莲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2025年09月16日上午至2025年09月17日上午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巫传莲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119611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