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陇西县水泥制品厂</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70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17"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708"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62"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349"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安涛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62" w:type="dxa"/>
            <w:gridSpan w:val="2"/>
            <w:vAlign w:val="center"/>
          </w:tcPr>
          <w:p>
            <w:pPr>
              <w:spacing w:line="240" w:lineRule="exact"/>
              <w:jc w:val="center"/>
              <w:rPr>
                <w:b/>
                <w:color w:val="000000" w:themeColor="text1"/>
                <w:sz w:val="20"/>
                <w:szCs w:val="20"/>
              </w:rPr>
            </w:pPr>
            <w:r>
              <w:rPr>
                <w:b/>
                <w:color w:val="000000" w:themeColor="text1"/>
                <w:sz w:val="20"/>
                <w:szCs w:val="20"/>
              </w:rPr>
              <w:t>审核员</w:t>
            </w:r>
          </w:p>
        </w:tc>
        <w:tc>
          <w:tcPr>
            <w:tcW w:w="2349" w:type="dxa"/>
            <w:gridSpan w:val="2"/>
            <w:vAlign w:val="center"/>
          </w:tcPr>
          <w:p>
            <w:pPr>
              <w:spacing w:line="240" w:lineRule="exact"/>
              <w:jc w:val="center"/>
              <w:rPr>
                <w:b/>
                <w:color w:val="000000" w:themeColor="text1"/>
                <w:sz w:val="20"/>
                <w:szCs w:val="20"/>
              </w:rPr>
            </w:pPr>
            <w:r>
              <w:rPr>
                <w:b/>
                <w:color w:val="000000" w:themeColor="text1"/>
                <w:sz w:val="20"/>
                <w:szCs w:val="20"/>
              </w:rP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62" w:type="dxa"/>
            <w:gridSpan w:val="2"/>
            <w:vAlign w:val="center"/>
          </w:tcPr>
          <w:p>
            <w:pPr>
              <w:rPr>
                <w:b/>
                <w:color w:val="000000" w:themeColor="text1"/>
                <w:sz w:val="20"/>
                <w:szCs w:val="20"/>
              </w:rPr>
            </w:pPr>
          </w:p>
        </w:tc>
        <w:tc>
          <w:tcPr>
            <w:tcW w:w="2349"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62" w:type="dxa"/>
            <w:gridSpan w:val="2"/>
            <w:vAlign w:val="center"/>
          </w:tcPr>
          <w:p>
            <w:pPr>
              <w:rPr>
                <w:b/>
                <w:color w:val="000000" w:themeColor="text1"/>
                <w:sz w:val="20"/>
                <w:szCs w:val="20"/>
              </w:rPr>
            </w:pPr>
          </w:p>
        </w:tc>
        <w:tc>
          <w:tcPr>
            <w:tcW w:w="2349"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62" w:type="dxa"/>
            <w:gridSpan w:val="2"/>
            <w:vAlign w:val="center"/>
          </w:tcPr>
          <w:p>
            <w:pPr>
              <w:rPr>
                <w:b/>
                <w:color w:val="000000" w:themeColor="text1"/>
                <w:sz w:val="20"/>
                <w:szCs w:val="20"/>
              </w:rPr>
            </w:pPr>
          </w:p>
        </w:tc>
        <w:tc>
          <w:tcPr>
            <w:tcW w:w="2349"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62" w:type="dxa"/>
            <w:gridSpan w:val="2"/>
            <w:vAlign w:val="center"/>
          </w:tcPr>
          <w:p>
            <w:pPr>
              <w:rPr>
                <w:b/>
                <w:color w:val="000000" w:themeColor="text1"/>
                <w:sz w:val="20"/>
                <w:szCs w:val="20"/>
              </w:rPr>
            </w:pPr>
            <w:r>
              <w:rPr>
                <w:rFonts w:hint="eastAsia"/>
                <w:b/>
                <w:color w:val="000000" w:themeColor="text1"/>
                <w:sz w:val="20"/>
                <w:szCs w:val="20"/>
              </w:rPr>
              <w:t>工作单位</w:t>
            </w:r>
          </w:p>
        </w:tc>
        <w:tc>
          <w:tcPr>
            <w:tcW w:w="2349"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62" w:type="dxa"/>
            <w:gridSpan w:val="2"/>
            <w:vAlign w:val="center"/>
          </w:tcPr>
          <w:p>
            <w:pPr>
              <w:rPr>
                <w:b/>
                <w:color w:val="000000" w:themeColor="text1"/>
              </w:rPr>
            </w:pPr>
          </w:p>
        </w:tc>
        <w:tc>
          <w:tcPr>
            <w:tcW w:w="2349"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62" w:type="dxa"/>
            <w:gridSpan w:val="2"/>
            <w:vAlign w:val="center"/>
          </w:tcPr>
          <w:p>
            <w:pPr>
              <w:rPr>
                <w:b/>
                <w:color w:val="000000" w:themeColor="text1"/>
              </w:rPr>
            </w:pPr>
          </w:p>
        </w:tc>
        <w:tc>
          <w:tcPr>
            <w:tcW w:w="2349"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ind w:left="-840" w:leftChars="-400" w:firstLine="0" w:firstLineChars="0"/>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1756"/>
        <w:gridCol w:w="1080"/>
        <w:gridCol w:w="282"/>
        <w:gridCol w:w="987"/>
        <w:gridCol w:w="610"/>
        <w:gridCol w:w="524"/>
        <w:gridCol w:w="610"/>
        <w:gridCol w:w="383"/>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783"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715" w:type="dxa"/>
            <w:gridSpan w:val="5"/>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陇西县水泥制品厂</w:t>
            </w:r>
            <w:bookmarkEnd w:id="5"/>
          </w:p>
        </w:tc>
        <w:tc>
          <w:tcPr>
            <w:tcW w:w="1134" w:type="dxa"/>
            <w:gridSpan w:val="2"/>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4"/>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83"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256" w:type="dxa"/>
            <w:gridSpan w:val="9"/>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甘肃省定西市陇西县云田镇北站村渭阳路口(执法局建筑垃圾填埋场)</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z w:val="20"/>
                <w:szCs w:val="20"/>
              </w:rPr>
              <w:t>748100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83"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256" w:type="dxa"/>
            <w:gridSpan w:val="9"/>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甘肃省定西市陇西县云田镇北站村渭阳路口(执法局建筑垃圾填埋场)</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748100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83"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256" w:type="dxa"/>
            <w:gridSpan w:val="9"/>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83"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256" w:type="dxa"/>
            <w:gridSpan w:val="9"/>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783"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256" w:type="dxa"/>
            <w:gridSpan w:val="9"/>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783"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756"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毛欣</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597" w:type="dxa"/>
            <w:gridSpan w:val="2"/>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17793223635</w:t>
            </w:r>
            <w:bookmarkEnd w:id="12"/>
          </w:p>
        </w:tc>
        <w:tc>
          <w:tcPr>
            <w:tcW w:w="1541" w:type="dxa"/>
            <w:gridSpan w:val="4"/>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1837" w:type="dxa"/>
            <w:gridSpan w:val="2"/>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83"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756"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陈海舟</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97"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541" w:type="dxa"/>
            <w:gridSpan w:val="4"/>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1837" w:type="dxa"/>
            <w:gridSpan w:val="2"/>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毛欣</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83"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8093" w:type="dxa"/>
            <w:gridSpan w:val="11"/>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环型混凝土电杆、钢筋混凝土排水管的生产及销售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783"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4105" w:type="dxa"/>
            <w:gridSpan w:val="4"/>
            <w:vAlign w:val="center"/>
          </w:tcPr>
          <w:p>
            <w:pPr>
              <w:spacing w:line="320" w:lineRule="exact"/>
              <w:jc w:val="both"/>
              <w:rPr>
                <w:rFonts w:ascii="宋体" w:hAnsi="宋体"/>
                <w:b/>
                <w:color w:val="000000" w:themeColor="text1"/>
                <w:sz w:val="20"/>
                <w:szCs w:val="20"/>
              </w:rPr>
            </w:pPr>
            <w:bookmarkStart w:id="18" w:name="专业代码"/>
            <w:r>
              <w:rPr>
                <w:rFonts w:ascii="宋体" w:hAnsi="宋体"/>
                <w:b/>
                <w:color w:val="000000" w:themeColor="text1"/>
                <w:sz w:val="20"/>
                <w:szCs w:val="20"/>
              </w:rPr>
              <w:t>16.02.01</w:t>
            </w:r>
            <w:bookmarkEnd w:id="18"/>
          </w:p>
        </w:tc>
        <w:tc>
          <w:tcPr>
            <w:tcW w:w="2127" w:type="dxa"/>
            <w:gridSpan w:val="4"/>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83"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836"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2018-01-03 0:00:00</w:t>
            </w:r>
            <w:bookmarkEnd w:id="19"/>
          </w:p>
        </w:tc>
        <w:tc>
          <w:tcPr>
            <w:tcW w:w="2403" w:type="dxa"/>
            <w:gridSpan w:val="4"/>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5"/>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3"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093" w:type="dxa"/>
            <w:gridSpan w:val="11"/>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3"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8093" w:type="dxa"/>
            <w:gridSpan w:val="11"/>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Cs w:val="21"/>
              </w:rPr>
              <w:t>管理层</w:t>
            </w:r>
          </w:p>
        </w:tc>
        <w:tc>
          <w:tcPr>
            <w:tcW w:w="6804" w:type="dxa"/>
            <w:vAlign w:val="top"/>
          </w:tcPr>
          <w:p>
            <w:pPr>
              <w:jc w:val="left"/>
              <w:rPr>
                <w:rFonts w:ascii="宋体" w:hAnsi="宋体" w:cs="宋体"/>
                <w:szCs w:val="21"/>
              </w:rPr>
            </w:pPr>
            <w:r>
              <w:rPr>
                <w:rFonts w:hint="eastAsia" w:ascii="宋体" w:hAnsi="宋体" w:cs="宋体"/>
                <w:szCs w:val="21"/>
              </w:rPr>
              <w:t>主要负责公司管理体系策划；负责公司管理体系方针、目标的制定</w:t>
            </w:r>
          </w:p>
          <w:p>
            <w:pPr>
              <w:jc w:val="left"/>
              <w:rPr>
                <w:rFonts w:ascii="宋体" w:hAnsi="宋体" w:cs="宋体"/>
                <w:szCs w:val="21"/>
              </w:rPr>
            </w:pPr>
            <w:r>
              <w:rPr>
                <w:rFonts w:hint="eastAsia" w:ascii="宋体" w:hAnsi="宋体" w:cs="宋体"/>
                <w:szCs w:val="21"/>
              </w:rPr>
              <w:t>负责公司管理体系管理评审主持、评审等；负责公司管理体系资源提供</w:t>
            </w:r>
          </w:p>
          <w:p>
            <w:pPr>
              <w:rPr>
                <w:rFonts w:ascii="宋体" w:hAnsi="宋体" w:eastAsia="宋体" w:cs="宋体"/>
                <w:b/>
                <w:color w:val="000000" w:themeColor="text1"/>
                <w:spacing w:val="-20"/>
                <w:kern w:val="2"/>
                <w:sz w:val="21"/>
                <w:szCs w:val="21"/>
                <w:u w:val="single"/>
                <w:lang w:val="en-US" w:eastAsia="zh-CN" w:bidi="ar-SA"/>
              </w:rPr>
            </w:pPr>
            <w:r>
              <w:rPr>
                <w:rFonts w:hint="eastAsia" w:ascii="宋体" w:hAnsi="宋体" w:cs="宋体"/>
                <w:szCs w:val="21"/>
              </w:rPr>
              <w:t>管控公司管理体系风险和机遇等。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hint="eastAsia"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Cs w:val="21"/>
              </w:rPr>
              <w:t>综合</w:t>
            </w:r>
            <w:r>
              <w:rPr>
                <w:rFonts w:hint="eastAsia" w:ascii="宋体" w:hAnsi="宋体"/>
                <w:b/>
                <w:color w:val="000000" w:themeColor="text1"/>
                <w:szCs w:val="21"/>
                <w:lang w:val="en-US" w:eastAsia="zh-CN"/>
              </w:rPr>
              <w:t>办公室</w:t>
            </w:r>
          </w:p>
        </w:tc>
        <w:tc>
          <w:tcPr>
            <w:tcW w:w="6804" w:type="dxa"/>
            <w:vAlign w:val="top"/>
          </w:tcPr>
          <w:p>
            <w:pPr>
              <w:jc w:val="left"/>
              <w:rPr>
                <w:rFonts w:ascii="宋体" w:hAnsi="宋体" w:eastAsia="宋体" w:cs="宋体"/>
                <w:b/>
                <w:color w:val="000000" w:themeColor="text1"/>
                <w:spacing w:val="-20"/>
                <w:kern w:val="2"/>
                <w:sz w:val="21"/>
                <w:szCs w:val="21"/>
                <w:u w:val="single"/>
                <w:lang w:val="en-US" w:eastAsia="zh-CN" w:bidi="ar-SA"/>
              </w:rPr>
            </w:pPr>
            <w:r>
              <w:rPr>
                <w:rFonts w:hint="eastAsia" w:ascii="宋体" w:hAnsi="宋体" w:cs="宋体"/>
                <w:szCs w:val="21"/>
              </w:rPr>
              <w:t>负责人力资源管理过程；资源提供与管理过程及风险控制；内外部信息交流过程；绩效评价过程；负责组织内审等。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119" w:type="dxa"/>
            <w:vAlign w:val="center"/>
          </w:tcPr>
          <w:p>
            <w:pPr>
              <w:jc w:val="center"/>
              <w:rPr>
                <w:rFonts w:hint="default" w:ascii="宋体" w:hAnsi="宋体" w:eastAsia="宋体" w:cs="Times New Roman"/>
                <w:b/>
                <w:color w:val="000000" w:themeColor="text1"/>
                <w:kern w:val="2"/>
                <w:sz w:val="21"/>
                <w:szCs w:val="21"/>
                <w:lang w:val="en-US" w:eastAsia="zh-CN" w:bidi="ar-SA"/>
              </w:rPr>
            </w:pPr>
            <w:r>
              <w:rPr>
                <w:rFonts w:hint="eastAsia" w:ascii="宋体" w:hAnsi="宋体" w:cs="Times New Roman"/>
                <w:b/>
                <w:color w:val="000000" w:themeColor="text1"/>
                <w:kern w:val="2"/>
                <w:sz w:val="21"/>
                <w:szCs w:val="21"/>
                <w:lang w:val="en-US" w:eastAsia="zh-CN" w:bidi="ar-SA"/>
              </w:rPr>
              <w:t>经营部</w:t>
            </w:r>
          </w:p>
        </w:tc>
        <w:tc>
          <w:tcPr>
            <w:tcW w:w="6804" w:type="dxa"/>
            <w:vAlign w:val="top"/>
          </w:tcPr>
          <w:p>
            <w:pPr>
              <w:jc w:val="left"/>
              <w:rPr>
                <w:rFonts w:ascii="宋体" w:hAnsi="宋体" w:eastAsia="宋体" w:cs="宋体"/>
                <w:kern w:val="2"/>
                <w:sz w:val="21"/>
                <w:szCs w:val="21"/>
                <w:lang w:val="en-US" w:eastAsia="zh-CN" w:bidi="ar-SA"/>
              </w:rPr>
            </w:pPr>
            <w:r>
              <w:rPr>
                <w:rFonts w:hint="eastAsia" w:ascii="宋体" w:hAnsi="宋体" w:cs="宋体"/>
                <w:szCs w:val="21"/>
              </w:rPr>
              <w:t>产品和服务的要求、外部提供过程、产品和服务的控制、顾客满意控制。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Cs w:val="21"/>
              </w:rPr>
              <w:t>生产技术部（车间）</w:t>
            </w:r>
          </w:p>
        </w:tc>
        <w:tc>
          <w:tcPr>
            <w:tcW w:w="6804" w:type="dxa"/>
            <w:vAlign w:val="top"/>
          </w:tcPr>
          <w:p>
            <w:pPr>
              <w:jc w:val="left"/>
              <w:rPr>
                <w:rFonts w:ascii="宋体" w:hAnsi="宋体" w:cs="宋体"/>
                <w:szCs w:val="21"/>
              </w:rPr>
            </w:pPr>
            <w:r>
              <w:rPr>
                <w:rFonts w:hint="eastAsia" w:ascii="宋体" w:hAnsi="宋体" w:cs="宋体"/>
                <w:szCs w:val="21"/>
              </w:rPr>
              <w:t>负责生产过程计划及其生产过程过程控制管理；负责对设备设施予以维护保养；生产过程质量、技术、不符合纠正管理和控制等；</w:t>
            </w:r>
          </w:p>
          <w:p>
            <w:pPr>
              <w:jc w:val="left"/>
              <w:rPr>
                <w:rFonts w:ascii="宋体" w:hAnsi="宋体" w:eastAsia="宋体" w:cs="宋体"/>
                <w:kern w:val="2"/>
                <w:sz w:val="21"/>
                <w:szCs w:val="21"/>
                <w:lang w:val="en-US" w:eastAsia="zh-CN" w:bidi="ar-SA"/>
              </w:rPr>
            </w:pPr>
            <w:r>
              <w:rPr>
                <w:rFonts w:hint="eastAsia" w:ascii="宋体" w:hAnsi="宋体" w:cs="宋体"/>
                <w:szCs w:val="21"/>
              </w:rPr>
              <w:t>产品的放行和不合格品控制、负责产品标识管理等；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182"/>
        <w:gridCol w:w="4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182" w:type="dxa"/>
          </w:tcPr>
          <w:p>
            <w:pPr>
              <w:rPr>
                <w:b/>
                <w:color w:val="000000" w:themeColor="text1"/>
                <w:sz w:val="20"/>
                <w:szCs w:val="20"/>
              </w:rPr>
            </w:pPr>
            <w:r>
              <w:rPr>
                <w:rFonts w:hint="eastAsia"/>
                <w:b/>
                <w:color w:val="000000" w:themeColor="text1"/>
                <w:sz w:val="20"/>
                <w:szCs w:val="20"/>
              </w:rPr>
              <w:t>规格</w:t>
            </w:r>
          </w:p>
        </w:tc>
        <w:tc>
          <w:tcPr>
            <w:tcW w:w="4204"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cs="Times New Roman" w:asciiTheme="majorEastAsia" w:hAnsiTheme="majorEastAsia" w:eastAsiaTheme="majorEastAsia"/>
                <w:b/>
                <w:color w:val="000000" w:themeColor="text1"/>
                <w:kern w:val="2"/>
                <w:sz w:val="20"/>
                <w:szCs w:val="20"/>
                <w:lang w:val="en-US" w:eastAsia="zh-CN" w:bidi="ar-SA"/>
              </w:rPr>
            </w:pPr>
            <w:r>
              <w:rPr>
                <w:rFonts w:hint="eastAsia" w:asciiTheme="majorEastAsia" w:hAnsiTheme="majorEastAsia" w:eastAsiaTheme="majorEastAsia"/>
                <w:color w:val="000000"/>
                <w:spacing w:val="-10"/>
                <w:sz w:val="20"/>
                <w:szCs w:val="20"/>
              </w:rPr>
              <w:t>环形混凝土电杆</w:t>
            </w:r>
          </w:p>
        </w:tc>
        <w:tc>
          <w:tcPr>
            <w:tcW w:w="2519" w:type="dxa"/>
            <w:vAlign w:val="top"/>
          </w:tcPr>
          <w:p>
            <w:pPr>
              <w:rPr>
                <w:rFonts w:ascii="Times New Roman" w:hAnsi="Times New Roman" w:eastAsia="宋体" w:cs="Times New Roman"/>
                <w:kern w:val="2"/>
                <w:sz w:val="21"/>
                <w:szCs w:val="24"/>
                <w:lang w:val="en-US" w:eastAsia="zh-CN" w:bidi="ar-SA"/>
              </w:rPr>
            </w:pPr>
            <w:r>
              <w:rPr>
                <w:rFonts w:hint="eastAsia" w:asciiTheme="majorEastAsia" w:hAnsiTheme="majorEastAsia" w:eastAsiaTheme="majorEastAsia"/>
                <w:color w:val="000000"/>
                <w:spacing w:val="-10"/>
                <w:sz w:val="20"/>
                <w:szCs w:val="20"/>
              </w:rPr>
              <w:t>Ф190-350</w:t>
            </w:r>
          </w:p>
        </w:tc>
        <w:tc>
          <w:tcPr>
            <w:tcW w:w="1182" w:type="dxa"/>
            <w:vAlign w:val="top"/>
          </w:tcPr>
          <w:p>
            <w:pPr>
              <w:rPr>
                <w:rFonts w:cs="Times New Roman" w:asciiTheme="majorEastAsia" w:hAnsiTheme="majorEastAsia" w:eastAsiaTheme="majorEastAsia"/>
                <w:b/>
                <w:color w:val="000000" w:themeColor="text1"/>
                <w:kern w:val="2"/>
                <w:sz w:val="20"/>
                <w:szCs w:val="20"/>
                <w:lang w:val="en-US" w:eastAsia="zh-CN" w:bidi="ar-SA"/>
              </w:rPr>
            </w:pPr>
          </w:p>
        </w:tc>
        <w:tc>
          <w:tcPr>
            <w:tcW w:w="4204" w:type="dxa"/>
          </w:tcPr>
          <w:p>
            <w:pPr>
              <w:rPr>
                <w:b/>
                <w:color w:val="000000" w:themeColor="text1"/>
                <w:sz w:val="20"/>
                <w:szCs w:val="20"/>
              </w:rPr>
            </w:pPr>
            <w:r>
              <w:rPr>
                <w:rFonts w:hint="eastAsia" w:asciiTheme="majorEastAsia" w:hAnsiTheme="majorEastAsia" w:eastAsiaTheme="majorEastAsia"/>
                <w:color w:val="000000"/>
                <w:spacing w:val="-10"/>
                <w:sz w:val="20"/>
                <w:szCs w:val="20"/>
              </w:rPr>
              <w:t>环形混凝土电杆</w:t>
            </w:r>
            <w:r>
              <w:rPr>
                <w:rFonts w:hint="eastAsia" w:asciiTheme="majorEastAsia" w:hAnsiTheme="majorEastAsia" w:eastAsiaTheme="majorEastAsia"/>
                <w:color w:val="000000"/>
                <w:spacing w:val="-10"/>
                <w:sz w:val="20"/>
                <w:szCs w:val="20"/>
                <w:lang w:val="en-US" w:eastAsia="zh-CN"/>
              </w:rPr>
              <w:t xml:space="preserve">                </w:t>
            </w:r>
            <w:r>
              <w:rPr>
                <w:rFonts w:hint="eastAsia" w:asciiTheme="majorEastAsia" w:hAnsiTheme="majorEastAsia" w:eastAsiaTheme="majorEastAsia"/>
                <w:color w:val="000000"/>
                <w:spacing w:val="-10"/>
                <w:sz w:val="20"/>
                <w:szCs w:val="20"/>
              </w:rPr>
              <w:t>GB4623-2014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cs="Times New Roman" w:asciiTheme="majorEastAsia" w:hAnsiTheme="majorEastAsia" w:eastAsiaTheme="majorEastAsia"/>
                <w:color w:val="000000"/>
                <w:spacing w:val="-10"/>
                <w:kern w:val="2"/>
                <w:sz w:val="20"/>
                <w:szCs w:val="20"/>
                <w:lang w:val="en-US" w:eastAsia="zh-CN" w:bidi="ar-SA"/>
              </w:rPr>
            </w:pPr>
            <w:r>
              <w:rPr>
                <w:rFonts w:hint="eastAsia" w:asciiTheme="majorEastAsia" w:hAnsiTheme="majorEastAsia" w:eastAsiaTheme="majorEastAsia"/>
                <w:color w:val="000000"/>
                <w:spacing w:val="-10"/>
                <w:sz w:val="20"/>
                <w:szCs w:val="20"/>
              </w:rPr>
              <w:t>钢筋混凝土排水管</w:t>
            </w:r>
          </w:p>
        </w:tc>
        <w:tc>
          <w:tcPr>
            <w:tcW w:w="2519" w:type="dxa"/>
            <w:vAlign w:val="top"/>
          </w:tcPr>
          <w:p>
            <w:pPr>
              <w:rPr>
                <w:rFonts w:cs="Times New Roman" w:asciiTheme="majorEastAsia" w:hAnsiTheme="majorEastAsia" w:eastAsiaTheme="majorEastAsia"/>
                <w:color w:val="000000"/>
                <w:spacing w:val="-10"/>
                <w:kern w:val="2"/>
                <w:sz w:val="20"/>
                <w:szCs w:val="20"/>
                <w:lang w:val="en-US" w:eastAsia="zh-CN" w:bidi="ar-SA"/>
              </w:rPr>
            </w:pPr>
            <w:r>
              <w:rPr>
                <w:rFonts w:hint="eastAsia" w:asciiTheme="majorEastAsia" w:hAnsiTheme="majorEastAsia" w:eastAsiaTheme="majorEastAsia"/>
                <w:color w:val="000000"/>
                <w:spacing w:val="-10"/>
                <w:sz w:val="20"/>
                <w:szCs w:val="20"/>
              </w:rPr>
              <w:t>RCP800-1200</w:t>
            </w:r>
          </w:p>
        </w:tc>
        <w:tc>
          <w:tcPr>
            <w:tcW w:w="1182" w:type="dxa"/>
            <w:vAlign w:val="top"/>
          </w:tcPr>
          <w:p>
            <w:pPr>
              <w:rPr>
                <w:rFonts w:cs="Times New Roman" w:asciiTheme="majorEastAsia" w:hAnsiTheme="majorEastAsia" w:eastAsiaTheme="majorEastAsia"/>
                <w:b/>
                <w:color w:val="000000" w:themeColor="text1"/>
                <w:kern w:val="2"/>
                <w:sz w:val="20"/>
                <w:szCs w:val="20"/>
                <w:lang w:val="en-US" w:eastAsia="zh-CN" w:bidi="ar-SA"/>
              </w:rPr>
            </w:pPr>
          </w:p>
        </w:tc>
        <w:tc>
          <w:tcPr>
            <w:tcW w:w="4204" w:type="dxa"/>
          </w:tcPr>
          <w:p>
            <w:pPr>
              <w:rPr>
                <w:b/>
                <w:color w:val="000000" w:themeColor="text1"/>
                <w:sz w:val="20"/>
                <w:szCs w:val="20"/>
              </w:rPr>
            </w:pPr>
            <w:r>
              <w:rPr>
                <w:rFonts w:hint="eastAsia" w:asciiTheme="majorEastAsia" w:hAnsiTheme="majorEastAsia" w:eastAsiaTheme="majorEastAsia"/>
                <w:color w:val="000000"/>
                <w:spacing w:val="-10"/>
                <w:sz w:val="20"/>
                <w:szCs w:val="20"/>
              </w:rPr>
              <w:t>混凝土和钢筋混凝土排水管</w:t>
            </w:r>
            <w:r>
              <w:rPr>
                <w:rFonts w:hint="eastAsia" w:asciiTheme="majorEastAsia" w:hAnsiTheme="majorEastAsia" w:eastAsiaTheme="majorEastAsia"/>
                <w:color w:val="000000"/>
                <w:spacing w:val="-10"/>
                <w:sz w:val="20"/>
                <w:szCs w:val="20"/>
              </w:rPr>
              <w:tab/>
            </w:r>
            <w:r>
              <w:rPr>
                <w:rFonts w:hint="eastAsia" w:asciiTheme="majorEastAsia" w:hAnsiTheme="majorEastAsia" w:eastAsiaTheme="majorEastAsia"/>
                <w:color w:val="000000"/>
                <w:spacing w:val="-10"/>
                <w:sz w:val="20"/>
                <w:szCs w:val="20"/>
              </w:rPr>
              <w:t xml:space="preserve">GB/T11836-2009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182" w:type="dxa"/>
          </w:tcPr>
          <w:p>
            <w:pPr>
              <w:rPr>
                <w:b/>
                <w:color w:val="000000" w:themeColor="text1"/>
                <w:sz w:val="20"/>
                <w:szCs w:val="20"/>
              </w:rPr>
            </w:pPr>
          </w:p>
        </w:tc>
        <w:tc>
          <w:tcPr>
            <w:tcW w:w="4204"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rFonts w:ascii="宋体" w:hAnsi="宋体" w:cs="宋体"/>
                <w:bCs/>
                <w:color w:val="000000" w:themeColor="text1"/>
                <w:szCs w:val="21"/>
              </w:rPr>
            </w:pPr>
            <w:r>
              <w:rPr>
                <w:rFonts w:hint="eastAsia" w:ascii="宋体" w:hAnsi="宋体" w:cs="宋体"/>
                <w:bCs/>
                <w:color w:val="000000" w:themeColor="text1"/>
                <w:szCs w:val="21"/>
              </w:rPr>
              <w:t>经营范围：</w:t>
            </w:r>
            <w:r>
              <w:rPr>
                <w:szCs w:val="21"/>
              </w:rPr>
              <w:t>环形混凝土电杆、钢筋混凝土排水管的生产</w:t>
            </w:r>
            <w:r>
              <w:rPr>
                <w:rFonts w:hint="eastAsia"/>
                <w:szCs w:val="21"/>
                <w:lang w:val="en-US" w:eastAsia="zh-CN"/>
              </w:rPr>
              <w:t>及</w:t>
            </w:r>
            <w:r>
              <w:rPr>
                <w:szCs w:val="21"/>
              </w:rPr>
              <w:t>销售</w:t>
            </w:r>
            <w:r>
              <w:rPr>
                <w:rFonts w:hint="eastAsia" w:ascii="宋体" w:hAnsi="宋体" w:cs="宋体"/>
                <w:bCs/>
                <w:color w:val="000000" w:themeColor="text1"/>
                <w:szCs w:val="21"/>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20" w:firstLineChars="200"/>
              <w:rPr>
                <w:rFonts w:ascii="宋体" w:hAnsi="宋体" w:cs="宋体"/>
                <w:bCs/>
                <w:color w:val="000000" w:themeColor="text1"/>
                <w:szCs w:val="21"/>
              </w:rPr>
            </w:pPr>
            <w:r>
              <w:rPr>
                <w:rFonts w:hint="eastAsia" w:ascii="宋体" w:hAnsi="宋体" w:cs="宋体"/>
                <w:bCs/>
                <w:color w:val="000000" w:themeColor="text1"/>
                <w:szCs w:val="21"/>
              </w:rPr>
              <w:t>提供了《组织内外部环境因素识别表》：</w:t>
            </w:r>
          </w:p>
          <w:p>
            <w:pPr>
              <w:spacing w:line="240" w:lineRule="exact"/>
              <w:ind w:firstLine="420" w:firstLineChars="200"/>
              <w:rPr>
                <w:rFonts w:ascii="宋体" w:hAnsi="宋体" w:cs="宋体"/>
                <w:bCs/>
                <w:color w:val="000000" w:themeColor="text1"/>
                <w:szCs w:val="21"/>
              </w:rPr>
            </w:pPr>
            <w:r>
              <w:rPr>
                <w:rFonts w:hint="eastAsia" w:ascii="宋体" w:hAnsi="宋体" w:cs="宋体"/>
                <w:bCs/>
                <w:color w:val="000000" w:themeColor="text1"/>
                <w:szCs w:val="21"/>
              </w:rPr>
              <w:t>内部环境：资源因素－公司提供符合</w:t>
            </w:r>
            <w:r>
              <w:rPr>
                <w:szCs w:val="21"/>
              </w:rPr>
              <w:t>环形混凝土电杆、钢筋混凝土排水管的生产</w:t>
            </w:r>
            <w:r>
              <w:rPr>
                <w:rFonts w:hint="eastAsia"/>
                <w:szCs w:val="21"/>
                <w:lang w:val="en-US" w:eastAsia="zh-CN"/>
              </w:rPr>
              <w:t>及</w:t>
            </w:r>
            <w:r>
              <w:rPr>
                <w:szCs w:val="21"/>
              </w:rPr>
              <w:t>销售</w:t>
            </w:r>
            <w:r>
              <w:rPr>
                <w:rFonts w:hint="eastAsia" w:ascii="宋体" w:hAnsi="宋体" w:cs="宋体"/>
                <w:bCs/>
                <w:color w:val="000000" w:themeColor="text1"/>
                <w:szCs w:val="21"/>
              </w:rPr>
              <w:t>的场所，配备适宜的硬件和软件设施设备。信息来源：设施设备清单－具体现状描述：本公司设施设备可以确保</w:t>
            </w:r>
            <w:r>
              <w:rPr>
                <w:szCs w:val="21"/>
              </w:rPr>
              <w:t>环形混凝土电杆、钢筋混凝土排水管的</w:t>
            </w:r>
            <w:r>
              <w:rPr>
                <w:rFonts w:hint="eastAsia" w:ascii="宋体" w:hAnsi="宋体" w:cs="宋体"/>
                <w:bCs/>
                <w:color w:val="000000" w:themeColor="text1"/>
                <w:szCs w:val="21"/>
              </w:rPr>
              <w:t>生产，基本的质量控制要求－SWOT分析：WT……</w:t>
            </w:r>
          </w:p>
          <w:p>
            <w:pPr>
              <w:spacing w:line="240" w:lineRule="exact"/>
              <w:ind w:firstLine="420" w:firstLineChars="200"/>
              <w:rPr>
                <w:rFonts w:ascii="宋体" w:hAnsi="宋体" w:cs="宋体"/>
                <w:bCs/>
                <w:color w:val="000000" w:themeColor="text1"/>
                <w:szCs w:val="21"/>
              </w:rPr>
            </w:pPr>
            <w:r>
              <w:rPr>
                <w:rFonts w:hint="eastAsia" w:ascii="宋体" w:hAnsi="宋体" w:cs="宋体"/>
                <w:bCs/>
                <w:color w:val="000000" w:themeColor="text1"/>
                <w:szCs w:val="21"/>
              </w:rPr>
              <w:t>外部环境：竞争力－公司类别：当前市场占有率不高，其他类似企业比较多－信息来源：市场调查和分析－具体现状描述：本公司产品质量稳定，但在市场中同行也多，竞争压力大－SWOT分析：ST……</w:t>
            </w:r>
          </w:p>
          <w:p>
            <w:pPr>
              <w:spacing w:line="240" w:lineRule="exact"/>
              <w:ind w:firstLine="420" w:firstLineChars="200"/>
              <w:rPr>
                <w:rFonts w:hint="eastAsia"/>
                <w:b/>
                <w:color w:val="000000" w:themeColor="text1"/>
                <w:sz w:val="20"/>
                <w:szCs w:val="20"/>
              </w:rPr>
            </w:pPr>
            <w:r>
              <w:rPr>
                <w:rFonts w:hint="eastAsia" w:ascii="宋体" w:hAnsi="宋体" w:cs="宋体"/>
                <w:bCs/>
                <w:color w:val="000000" w:themeColor="text1"/>
                <w:szCs w:val="21"/>
              </w:rPr>
              <w:t>公司管理层已确定了外部和内部因素，已经对经营环境、内外部环境进行分析并提出对策，并进行了监视和评审。实施开始时间：</w:t>
            </w:r>
            <w:r>
              <w:rPr>
                <w:rFonts w:hint="eastAsia" w:ascii="宋体" w:hAnsi="宋体" w:cs="宋体"/>
                <w:bCs/>
                <w:color w:val="000000" w:themeColor="text1"/>
                <w:szCs w:val="21"/>
                <w:highlight w:val="none"/>
              </w:rPr>
              <w:t>20</w:t>
            </w:r>
            <w:r>
              <w:rPr>
                <w:rFonts w:hint="eastAsia" w:ascii="宋体" w:hAnsi="宋体" w:cs="宋体"/>
                <w:bCs/>
                <w:color w:val="000000" w:themeColor="text1"/>
                <w:szCs w:val="21"/>
                <w:highlight w:val="none"/>
                <w:lang w:val="en-US" w:eastAsia="zh-CN"/>
              </w:rPr>
              <w:t>21</w:t>
            </w:r>
            <w:r>
              <w:rPr>
                <w:rFonts w:hint="eastAsia" w:ascii="宋体" w:hAnsi="宋体" w:cs="宋体"/>
                <w:bCs/>
                <w:color w:val="000000" w:themeColor="text1"/>
                <w:szCs w:val="21"/>
                <w:highlight w:val="none"/>
              </w:rPr>
              <w:t>.1.1</w:t>
            </w:r>
            <w:r>
              <w:rPr>
                <w:rFonts w:hint="eastAsia" w:ascii="宋体" w:hAnsi="宋体" w:cs="宋体"/>
                <w:bCs/>
                <w:color w:val="000000" w:themeColor="text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spacing w:line="240" w:lineRule="exact"/>
              <w:ind w:firstLine="420" w:firstLineChars="200"/>
              <w:rPr>
                <w:rFonts w:ascii="宋体" w:hAnsi="宋体" w:cs="宋体"/>
                <w:bCs/>
                <w:color w:val="000000" w:themeColor="text1"/>
                <w:szCs w:val="21"/>
              </w:rPr>
            </w:pPr>
            <w:r>
              <w:rPr>
                <w:rFonts w:hint="eastAsia" w:ascii="宋体" w:hAnsi="宋体" w:cs="宋体"/>
                <w:bCs/>
                <w:color w:val="000000" w:themeColor="text1"/>
                <w:szCs w:val="21"/>
              </w:rPr>
              <w:t>相关方包括顾客、所有者、组织中的成员、供应商、银行、合伙人、竞争对手。在每年的管理评审前，由相关部门负责人进行识别并评估其适用性,具体部门及识别见管理评审输入。 主要顾客群：国家电网公司等</w:t>
            </w:r>
          </w:p>
          <w:p>
            <w:pPr>
              <w:spacing w:line="240" w:lineRule="exact"/>
              <w:ind w:firstLine="420" w:firstLineChars="200"/>
              <w:rPr>
                <w:rFonts w:ascii="宋体" w:hAnsi="宋体" w:cs="宋体"/>
                <w:bCs/>
                <w:color w:val="000000" w:themeColor="text1"/>
                <w:szCs w:val="21"/>
              </w:rPr>
            </w:pPr>
            <w:r>
              <w:rPr>
                <w:rFonts w:hint="eastAsia" w:ascii="宋体" w:hAnsi="宋体" w:cs="宋体"/>
                <w:bCs/>
                <w:color w:val="000000" w:themeColor="text1"/>
                <w:szCs w:val="21"/>
              </w:rPr>
              <w:t>相关方期望或要求监测与更新：管理者代表每年在管理评审前组织一次全面的内外部环境要素识别与评审。</w:t>
            </w:r>
          </w:p>
          <w:p>
            <w:pPr>
              <w:spacing w:line="240" w:lineRule="exact"/>
              <w:ind w:firstLine="420" w:firstLineChars="200"/>
              <w:rPr>
                <w:rFonts w:ascii="宋体" w:hAnsi="宋体" w:cs="宋体"/>
                <w:bCs/>
                <w:color w:val="000000" w:themeColor="text1"/>
                <w:szCs w:val="21"/>
              </w:rPr>
            </w:pPr>
            <w:r>
              <w:rPr>
                <w:rFonts w:hint="eastAsia" w:ascii="宋体" w:hAnsi="宋体" w:cs="宋体"/>
                <w:bCs/>
                <w:color w:val="000000" w:themeColor="text1"/>
                <w:szCs w:val="21"/>
              </w:rPr>
              <w:t>各部门在获得内外部环境要素信息变化时，应及时告知管理者代表，由管理者代表对《相关方期望或要求识别表》进行修订。</w:t>
            </w:r>
          </w:p>
          <w:p>
            <w:pPr>
              <w:numPr>
                <w:ilvl w:val="0"/>
                <w:numId w:val="0"/>
              </w:numPr>
              <w:spacing w:line="240" w:lineRule="exact"/>
              <w:ind w:firstLine="420" w:firstLineChars="200"/>
              <w:rPr>
                <w:rFonts w:hint="eastAsia"/>
                <w:b/>
                <w:color w:val="000000" w:themeColor="text1"/>
                <w:sz w:val="20"/>
                <w:szCs w:val="20"/>
              </w:rPr>
            </w:pPr>
            <w:r>
              <w:rPr>
                <w:rFonts w:hint="eastAsia" w:ascii="宋体" w:hAnsi="宋体" w:cs="宋体"/>
                <w:bCs/>
                <w:color w:val="000000" w:themeColor="text1"/>
                <w:szCs w:val="21"/>
              </w:rPr>
              <w:t>管理评审前，管理者代表汇总企业内外部环境要素情况及相关方的期望与要求的相关资料，并提交管理评审。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lang w:eastAsia="zh-CN"/>
              </w:rPr>
              <w:t>、</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99" w:leftChars="95"/>
              <w:rPr>
                <w:b/>
                <w:color w:val="000000" w:themeColor="text1"/>
              </w:rPr>
            </w:pPr>
            <w:r>
              <w:rPr>
                <w:rFonts w:hint="eastAsia" w:ascii="宋体" w:hAnsi="宋体"/>
                <w:bCs/>
                <w:szCs w:val="21"/>
              </w:rPr>
              <w:t>管理方针：</w:t>
            </w:r>
            <w:r>
              <w:rPr>
                <w:rFonts w:hint="eastAsia" w:ascii="宋体" w:hAnsi="宋体" w:eastAsia="宋体" w:cs="Times New Roman"/>
                <w:bCs/>
                <w:szCs w:val="21"/>
              </w:rPr>
              <w:t>“质量为先，信誉为重，管理为本，服务为诚”，</w:t>
            </w:r>
            <w:r>
              <w:rPr>
                <w:rFonts w:hint="eastAsia" w:ascii="宋体" w:hAnsi="宋体"/>
                <w:bCs/>
                <w:szCs w:val="21"/>
              </w:rPr>
              <w:t>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ind w:leftChars="0"/>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ind w:firstLine="420" w:firstLineChars="200"/>
              <w:rPr>
                <w:rFonts w:ascii="宋体" w:hAnsi="宋体" w:cs="宋体"/>
                <w:szCs w:val="21"/>
              </w:rPr>
            </w:pPr>
            <w:r>
              <w:rPr>
                <w:rFonts w:hint="eastAsia" w:ascii="宋体" w:hAnsi="宋体" w:cs="宋体"/>
                <w:szCs w:val="21"/>
              </w:rPr>
              <w:t>制定了《风险和机遇的应对控制程序》，明确风险和机遇事件的识别方法/途径、风险和机遇事件的评估方式、制定主要风险和机遇事件的应对措施的要求、评价这些措施有效性的方法。</w:t>
            </w:r>
          </w:p>
          <w:p>
            <w:pPr>
              <w:ind w:firstLine="420" w:firstLineChars="200"/>
              <w:rPr>
                <w:rFonts w:ascii="宋体" w:hAnsi="宋体" w:cs="宋体"/>
                <w:szCs w:val="21"/>
              </w:rPr>
            </w:pPr>
            <w:r>
              <w:rPr>
                <w:rFonts w:hint="eastAsia" w:ascii="宋体" w:hAnsi="宋体" w:cs="宋体"/>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pPr>
              <w:numPr>
                <w:ilvl w:val="0"/>
                <w:numId w:val="0"/>
              </w:numPr>
              <w:spacing w:line="240" w:lineRule="exact"/>
              <w:ind w:leftChars="0" w:firstLine="420" w:firstLineChars="200"/>
              <w:rPr>
                <w:rFonts w:hint="eastAsia"/>
                <w:b/>
                <w:color w:val="000000" w:themeColor="text1"/>
              </w:rPr>
            </w:pPr>
            <w:r>
              <w:rPr>
                <w:rFonts w:hint="eastAsia" w:ascii="宋体" w:hAnsi="宋体" w:cs="宋体"/>
                <w:szCs w:val="21"/>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rFonts w:hint="eastAsia"/>
                <w:b/>
                <w:color w:val="000000" w:themeColor="text1"/>
                <w:sz w:val="20"/>
                <w:szCs w:val="20"/>
                <w:lang w:eastAsia="zh-CN"/>
              </w:rPr>
              <w:t>、</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11" w:hanging="211" w:hangingChars="100"/>
              <w:rPr>
                <w:szCs w:val="21"/>
              </w:rPr>
            </w:pPr>
            <w:r>
              <w:rPr>
                <w:rFonts w:hint="eastAsia" w:ascii="宋体" w:hAnsi="宋体"/>
                <w:b/>
                <w:color w:val="000000" w:themeColor="text1"/>
                <w:szCs w:val="21"/>
              </w:rPr>
              <w:t>质量管理体系过程有：</w:t>
            </w:r>
            <w:r>
              <w:rPr>
                <w:rFonts w:hint="eastAsia"/>
                <w:szCs w:val="21"/>
              </w:rPr>
              <w:t>人力资源、基础设施、文件、机构、职责、产品和服务的要求、外部提供的产品和服务、产品放行、不合格输出控制、绩效评价、改进等。</w:t>
            </w:r>
          </w:p>
          <w:p>
            <w:pPr>
              <w:adjustRightInd w:val="0"/>
              <w:snapToGrid w:val="0"/>
              <w:spacing w:line="360" w:lineRule="auto"/>
              <w:rPr>
                <w:rFonts w:ascii="宋体" w:hAnsi="宋体" w:cs="宋体"/>
                <w:color w:val="000000"/>
                <w:kern w:val="0"/>
                <w:szCs w:val="21"/>
              </w:rPr>
            </w:pPr>
            <w:r>
              <w:rPr>
                <w:rFonts w:hint="eastAsia" w:ascii="宋体" w:hAnsi="宋体" w:cs="宋体"/>
                <w:color w:val="000000"/>
                <w:kern w:val="0"/>
                <w:szCs w:val="21"/>
              </w:rPr>
              <w:t>环形混凝土电杆生产流程：</w:t>
            </w:r>
            <w:r>
              <w:rPr>
                <w:rFonts w:hint="eastAsia" w:ascii="宋体" w:hAnsi="宋体"/>
                <w:szCs w:val="21"/>
              </w:rPr>
              <w:t>配料→搅拌→装筋→浇灌→离心成型→养护→脱模→成品检验</w:t>
            </w:r>
            <w:r>
              <w:rPr>
                <w:rFonts w:hint="eastAsia" w:ascii="宋体" w:hAnsi="宋体" w:cs="宋体"/>
                <w:color w:val="000000"/>
                <w:kern w:val="0"/>
                <w:szCs w:val="21"/>
              </w:rPr>
              <w:t>；</w:t>
            </w:r>
          </w:p>
          <w:p>
            <w:pPr>
              <w:adjustRightInd w:val="0"/>
              <w:snapToGrid w:val="0"/>
              <w:spacing w:line="360" w:lineRule="auto"/>
              <w:rPr>
                <w:rFonts w:ascii="宋体" w:hAnsi="宋体" w:cs="宋体"/>
                <w:color w:val="000000"/>
                <w:kern w:val="0"/>
                <w:szCs w:val="21"/>
              </w:rPr>
            </w:pPr>
            <w:r>
              <w:rPr>
                <w:szCs w:val="21"/>
              </w:rPr>
              <w:t>钢筋混凝土排水管</w:t>
            </w:r>
            <w:r>
              <w:rPr>
                <w:rFonts w:hint="eastAsia" w:ascii="宋体" w:hAnsi="宋体" w:cs="宋体"/>
                <w:color w:val="000000"/>
                <w:kern w:val="0"/>
                <w:szCs w:val="21"/>
              </w:rPr>
              <w:t>生产流程：</w:t>
            </w:r>
            <w:r>
              <w:rPr>
                <w:rFonts w:hint="eastAsia" w:ascii="宋体" w:hAnsi="宋体"/>
                <w:szCs w:val="21"/>
              </w:rPr>
              <w:t>配料→搅拌→装筋→浇灌→悬滚成型→养护→脱模→成品检验</w:t>
            </w:r>
            <w:r>
              <w:rPr>
                <w:rFonts w:hint="eastAsia" w:ascii="宋体" w:hAnsi="宋体" w:cs="宋体"/>
                <w:color w:val="000000"/>
                <w:kern w:val="0"/>
                <w:szCs w:val="21"/>
              </w:rPr>
              <w:t>；</w:t>
            </w:r>
          </w:p>
          <w:p>
            <w:pPr>
              <w:tabs>
                <w:tab w:val="left" w:pos="540"/>
              </w:tabs>
              <w:spacing w:line="300" w:lineRule="exact"/>
              <w:ind w:left="211" w:hanging="211" w:hangingChars="100"/>
              <w:rPr>
                <w:rFonts w:ascii="宋体" w:hAnsi="宋体"/>
                <w:b/>
                <w:color w:val="000000" w:themeColor="text1"/>
                <w:szCs w:val="21"/>
                <w:u w:val="single"/>
              </w:rPr>
            </w:pPr>
            <w:r>
              <w:rPr>
                <w:rFonts w:hint="eastAsia" w:ascii="宋体" w:hAnsi="宋体"/>
                <w:b/>
                <w:color w:val="000000" w:themeColor="text1"/>
                <w:szCs w:val="21"/>
              </w:rPr>
              <w:t>其中关键过程有</w:t>
            </w:r>
            <w:r>
              <w:rPr>
                <w:rFonts w:hint="eastAsia" w:ascii="宋体" w:hAnsi="宋体"/>
                <w:b/>
                <w:color w:val="000000" w:themeColor="text1"/>
                <w:szCs w:val="21"/>
                <w:u w:val="single"/>
              </w:rPr>
              <w:t xml:space="preserve">   </w:t>
            </w:r>
            <w:r>
              <w:rPr>
                <w:rFonts w:hint="eastAsia" w:ascii="宋体" w:hAnsi="宋体"/>
                <w:color w:val="000000"/>
                <w:szCs w:val="21"/>
                <w:u w:val="single"/>
              </w:rPr>
              <w:t>离心成型、悬滚成型</w:t>
            </w:r>
            <w:r>
              <w:rPr>
                <w:rFonts w:hint="eastAsia" w:ascii="宋体" w:hAnsi="宋体"/>
                <w:b/>
                <w:color w:val="000000" w:themeColor="text1"/>
                <w:szCs w:val="21"/>
                <w:u w:val="single"/>
              </w:rPr>
              <w:t xml:space="preserve">  ，</w:t>
            </w:r>
          </w:p>
          <w:p>
            <w:pPr>
              <w:tabs>
                <w:tab w:val="left" w:pos="540"/>
              </w:tabs>
              <w:spacing w:line="300" w:lineRule="exact"/>
              <w:ind w:left="211" w:hanging="211" w:hangingChars="100"/>
              <w:rPr>
                <w:rFonts w:ascii="宋体" w:hAnsi="宋体"/>
                <w:b/>
                <w:color w:val="000000" w:themeColor="text1"/>
                <w:szCs w:val="21"/>
                <w:u w:val="single"/>
              </w:rPr>
            </w:pPr>
            <w:r>
              <w:rPr>
                <w:rFonts w:hint="eastAsia" w:ascii="宋体" w:hAnsi="宋体"/>
                <w:b/>
                <w:color w:val="000000" w:themeColor="text1"/>
                <w:szCs w:val="21"/>
              </w:rPr>
              <w:t>需要确认过程 ：</w:t>
            </w:r>
            <w:r>
              <w:rPr>
                <w:rFonts w:hint="eastAsia" w:ascii="宋体" w:hAnsi="宋体"/>
                <w:color w:val="000000"/>
                <w:szCs w:val="21"/>
              </w:rPr>
              <w:t>焊接、销售</w:t>
            </w:r>
            <w:r>
              <w:rPr>
                <w:rFonts w:hint="eastAsia" w:ascii="宋体" w:hAnsi="宋体"/>
                <w:b/>
                <w:color w:val="000000" w:themeColor="text1"/>
                <w:szCs w:val="21"/>
              </w:rPr>
              <w:t xml:space="preserve"> </w:t>
            </w:r>
          </w:p>
          <w:p>
            <w:pPr>
              <w:tabs>
                <w:tab w:val="left" w:pos="540"/>
              </w:tabs>
              <w:spacing w:line="300" w:lineRule="exact"/>
              <w:ind w:left="201" w:hanging="211" w:hangingChars="100"/>
              <w:rPr>
                <w:rFonts w:ascii="宋体" w:hAnsi="宋体"/>
                <w:b/>
                <w:color w:val="000000" w:themeColor="text1"/>
                <w:sz w:val="20"/>
                <w:szCs w:val="20"/>
              </w:rPr>
            </w:pPr>
            <w:r>
              <w:rPr>
                <w:rFonts w:hint="eastAsia" w:ascii="宋体" w:hAnsi="宋体"/>
                <w:b/>
                <w:color w:val="000000" w:themeColor="text1"/>
                <w:szCs w:val="21"/>
              </w:rPr>
              <w:t xml:space="preserve">不适用条款是 8.3 ，不适用理由： </w:t>
            </w:r>
            <w:r>
              <w:rPr>
                <w:rFonts w:hint="eastAsia" w:ascii="宋体" w:hAnsi="宋体" w:cs="宋体"/>
                <w:szCs w:val="21"/>
              </w:rPr>
              <w:t>经识别确认公司所生产的环形混凝土电杆、</w:t>
            </w:r>
            <w:r>
              <w:rPr>
                <w:szCs w:val="21"/>
              </w:rPr>
              <w:t>钢筋混凝土排水管</w:t>
            </w:r>
            <w:r>
              <w:rPr>
                <w:rFonts w:hint="eastAsia" w:ascii="宋体" w:hAnsi="宋体" w:cs="宋体"/>
                <w:szCs w:val="21"/>
              </w:rPr>
              <w:t>，均按照国家标准的要求组织实施生产，不存在产品的设计和开发，故删减了GB/T19001-2016标准8.3条款。删减后不影响满足顾客和适用的法律法规的要求，也不影响公司承担满足顾客和适用的法律法规的要求的责任。</w:t>
            </w:r>
            <w:r>
              <w:rPr>
                <w:rFonts w:hint="eastAsia" w:ascii="宋体" w:hAnsi="宋体"/>
                <w:b/>
                <w:color w:val="000000" w:themeColor="text1"/>
                <w:sz w:val="20"/>
                <w:szCs w:val="20"/>
              </w:rPr>
              <w:t xml:space="preserve"> </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6</w:t>
            </w:r>
            <w:r>
              <w:rPr>
                <w:rFonts w:hint="eastAsia"/>
                <w:b/>
                <w:color w:val="000000" w:themeColor="text1"/>
                <w:sz w:val="20"/>
                <w:szCs w:val="20"/>
                <w:lang w:eastAsia="zh-CN"/>
              </w:rPr>
              <w:t>、</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ascii="宋体" w:hAnsi="宋体"/>
                <w:b/>
                <w:color w:val="000000" w:themeColor="text1"/>
                <w:spacing w:val="-12"/>
                <w:sz w:val="20"/>
                <w:szCs w:val="20"/>
              </w:rPr>
            </w:pPr>
            <w:r>
              <w:rPr>
                <w:rFonts w:hint="eastAsia" w:ascii="宋体" w:hAnsi="宋体"/>
                <w:b/>
                <w:color w:val="000000" w:themeColor="text1"/>
                <w:spacing w:val="-12"/>
                <w:sz w:val="20"/>
                <w:szCs w:val="20"/>
              </w:rPr>
              <w:t>/</w:t>
            </w:r>
          </w:p>
          <w:p>
            <w:pPr>
              <w:spacing w:line="300" w:lineRule="exact"/>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7</w:t>
            </w:r>
            <w:r>
              <w:rPr>
                <w:rFonts w:hint="eastAsia"/>
                <w:b/>
                <w:color w:val="000000" w:themeColor="text1"/>
                <w:spacing w:val="-10"/>
                <w:sz w:val="20"/>
                <w:szCs w:val="20"/>
                <w:lang w:eastAsia="zh-CN"/>
              </w:rPr>
              <w:t>、</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rFonts w:ascii="宋体" w:hAnsi="宋体"/>
                <w:b/>
                <w:color w:val="000000" w:themeColor="text1"/>
                <w:spacing w:val="-12"/>
                <w:sz w:val="20"/>
                <w:szCs w:val="20"/>
              </w:rPr>
            </w:pPr>
            <w:r>
              <w:rPr>
                <w:rFonts w:hint="eastAsia" w:ascii="宋体" w:hAnsi="宋体"/>
                <w:b/>
                <w:color w:val="000000" w:themeColor="text1"/>
                <w:spacing w:val="-12"/>
                <w:sz w:val="20"/>
                <w:szCs w:val="20"/>
              </w:rPr>
              <w:t>/</w:t>
            </w:r>
          </w:p>
          <w:p>
            <w:pPr>
              <w:tabs>
                <w:tab w:val="left" w:pos="1260"/>
              </w:tabs>
              <w:spacing w:line="300" w:lineRule="exact"/>
              <w:rPr>
                <w:rFonts w:hint="eastAsia" w:ascii="宋体" w:hAnsi="宋体"/>
                <w:b/>
                <w:color w:val="000000" w:themeColor="text1"/>
                <w:spacing w:val="-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ascii="宋体" w:hAnsi="宋体"/>
                <w:b/>
                <w:color w:val="000000" w:themeColor="text1"/>
                <w:spacing w:val="-4"/>
                <w:szCs w:val="21"/>
              </w:rPr>
              <w:t>法律法规及其他要求</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cs="宋体"/>
                <w:b/>
                <w:color w:val="000000" w:themeColor="text1"/>
                <w:szCs w:val="21"/>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cs="宋体"/>
                <w:b/>
                <w:color w:val="000000" w:themeColor="text1"/>
                <w:szCs w:val="21"/>
              </w:rPr>
              <w:t>■</w:t>
            </w:r>
            <w:r>
              <w:rPr>
                <w:rFonts w:hint="eastAsia" w:ascii="宋体" w:hAnsi="宋体"/>
                <w:b/>
                <w:color w:val="000000" w:themeColor="text1"/>
                <w:szCs w:val="21"/>
              </w:rPr>
              <w:t>产品/服务□环境因素□危险源，</w:t>
            </w:r>
            <w:r>
              <w:rPr>
                <w:rFonts w:hint="eastAsia" w:ascii="宋体" w:hAnsi="宋体" w:cs="宋体"/>
                <w:b/>
                <w:color w:val="000000" w:themeColor="text1"/>
                <w:szCs w:val="21"/>
              </w:rPr>
              <w:t>■</w:t>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Cs/>
                <w:color w:val="000000" w:themeColor="text1"/>
                <w:szCs w:val="21"/>
              </w:rPr>
              <w:t>培训、开会等。</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Cs/>
                <w:color w:val="000000" w:themeColor="text1"/>
                <w:szCs w:val="21"/>
              </w:rPr>
              <w:t>已更新。</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ascii="宋体" w:hAnsi="宋体"/>
                <w:b/>
                <w:color w:val="000000" w:themeColor="text1"/>
                <w:szCs w:val="21"/>
                <w:lang w:val="en-US" w:eastAsia="zh-CN"/>
              </w:rPr>
              <w:t>9、</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ind w:firstLine="420" w:firstLineChars="200"/>
              <w:rPr>
                <w:rFonts w:hint="eastAsia" w:ascii="宋体" w:hAnsi="宋体" w:eastAsia="宋体" w:cs="Times New Roman"/>
                <w:bCs/>
                <w:color w:val="000000" w:themeColor="text1"/>
                <w:kern w:val="2"/>
                <w:sz w:val="21"/>
                <w:szCs w:val="21"/>
                <w:lang w:val="en-US" w:eastAsia="zh-CN" w:bidi="ar-SA"/>
              </w:rPr>
            </w:pPr>
            <w:r>
              <w:rPr>
                <w:rFonts w:hint="eastAsia" w:ascii="宋体" w:hAnsi="宋体" w:eastAsia="宋体" w:cs="Times New Roman"/>
                <w:bCs/>
                <w:color w:val="000000" w:themeColor="text1"/>
                <w:kern w:val="2"/>
                <w:sz w:val="21"/>
                <w:szCs w:val="21"/>
                <w:lang w:val="en-US" w:eastAsia="zh-CN" w:bidi="ar-SA"/>
              </w:rPr>
              <w:t>总经理负责组织制定公司的管理目标，并在公司各部门进行分解，制定时考虑了公司的质量过程及其风险和机遇。</w:t>
            </w:r>
          </w:p>
          <w:p>
            <w:pPr>
              <w:ind w:firstLine="420" w:firstLineChars="200"/>
              <w:rPr>
                <w:rFonts w:hint="eastAsia" w:ascii="宋体" w:hAnsi="宋体" w:eastAsia="宋体" w:cs="Times New Roman"/>
                <w:bCs/>
                <w:color w:val="000000" w:themeColor="text1"/>
                <w:kern w:val="2"/>
                <w:sz w:val="21"/>
                <w:szCs w:val="21"/>
                <w:lang w:val="en-US" w:eastAsia="zh-CN" w:bidi="ar-SA"/>
              </w:rPr>
            </w:pPr>
            <w:r>
              <w:rPr>
                <w:rFonts w:hint="eastAsia" w:ascii="宋体" w:hAnsi="宋体" w:eastAsia="宋体" w:cs="Times New Roman"/>
                <w:bCs/>
                <w:color w:val="000000" w:themeColor="text1"/>
                <w:kern w:val="2"/>
                <w:sz w:val="21"/>
                <w:szCs w:val="21"/>
                <w:lang w:val="en-US" w:eastAsia="zh-CN" w:bidi="ar-SA"/>
              </w:rPr>
              <w:t>顾客满意度：          ≥85％；   成品一次交检合格率：  ≥95％</w:t>
            </w:r>
          </w:p>
          <w:p>
            <w:pPr>
              <w:ind w:firstLine="420" w:firstLineChars="200"/>
              <w:rPr>
                <w:rFonts w:hint="eastAsia" w:ascii="宋体" w:hAnsi="宋体" w:eastAsia="宋体" w:cs="Times New Roman"/>
                <w:bCs/>
                <w:color w:val="000000" w:themeColor="text1"/>
                <w:kern w:val="2"/>
                <w:sz w:val="21"/>
                <w:szCs w:val="21"/>
                <w:lang w:val="en-US" w:eastAsia="zh-CN" w:bidi="ar-SA"/>
              </w:rPr>
            </w:pPr>
            <w:r>
              <w:rPr>
                <w:rFonts w:hint="eastAsia" w:ascii="宋体" w:hAnsi="宋体" w:eastAsia="宋体" w:cs="Times New Roman"/>
                <w:bCs/>
                <w:color w:val="000000" w:themeColor="text1"/>
                <w:kern w:val="2"/>
                <w:sz w:val="21"/>
                <w:szCs w:val="21"/>
                <w:lang w:val="en-US" w:eastAsia="zh-CN" w:bidi="ar-SA"/>
              </w:rPr>
              <w:t>产品准时交货率：      ≥95％；   顾客投诉及退货次数：  ≤5次/年</w:t>
            </w:r>
          </w:p>
          <w:p>
            <w:pPr>
              <w:spacing w:line="240" w:lineRule="exac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ind w:firstLine="420" w:firstLineChars="200"/>
              <w:rPr>
                <w:bCs/>
                <w:szCs w:val="22"/>
              </w:rPr>
            </w:pPr>
            <w:r>
              <w:rPr>
                <w:rFonts w:hint="eastAsia"/>
                <w:bCs/>
                <w:szCs w:val="22"/>
              </w:rPr>
              <w:t>公司按照制定的文件和记录控制相关程序，对管理体系有关的文件、记录等成文信息进行有效控制，在使用处均有文件的有效版本。公司文件为手册、程序文件、作业文件三层。</w:t>
            </w:r>
          </w:p>
          <w:p>
            <w:pPr>
              <w:tabs>
                <w:tab w:val="left" w:pos="540"/>
              </w:tabs>
              <w:spacing w:line="240" w:lineRule="exact"/>
              <w:ind w:firstLine="420" w:firstLineChars="200"/>
              <w:rPr>
                <w:rFonts w:ascii="宋体" w:hAnsi="宋体"/>
                <w:b/>
                <w:color w:val="000000" w:themeColor="text1"/>
                <w:sz w:val="20"/>
                <w:szCs w:val="20"/>
              </w:rPr>
            </w:pPr>
            <w:r>
              <w:rPr>
                <w:rFonts w:hint="eastAsia"/>
                <w:bCs/>
                <w:szCs w:val="22"/>
              </w:rPr>
              <w:t>创建和更新文件时，标识和说明、格式、评审和批准等与规定要求相符。文件的存在形式以书面文件和电子版文件为准。文审修订后成文信息的控制符合要求。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ind w:firstLine="420" w:firstLineChars="200"/>
              <w:rPr>
                <w:rFonts w:ascii="宋体" w:hAnsi="宋体"/>
                <w:b/>
                <w:color w:val="000000" w:themeColor="text1"/>
                <w:sz w:val="20"/>
                <w:szCs w:val="20"/>
              </w:rPr>
            </w:pPr>
            <w:r>
              <w:rPr>
                <w:rFonts w:hint="eastAsia" w:ascii="宋体" w:hAnsi="宋体" w:cs="宋体"/>
                <w:szCs w:val="21"/>
              </w:rPr>
              <w:t>该公司员工</w:t>
            </w:r>
            <w:r>
              <w:rPr>
                <w:rFonts w:hint="eastAsia" w:ascii="宋体" w:hAnsi="宋体" w:cs="宋体"/>
                <w:szCs w:val="21"/>
                <w:lang w:val="en-US" w:eastAsia="zh-CN"/>
              </w:rPr>
              <w:t>45</w:t>
            </w:r>
            <w:r>
              <w:rPr>
                <w:rFonts w:hint="eastAsia" w:ascii="宋体" w:hAnsi="宋体" w:cs="宋体"/>
                <w:szCs w:val="21"/>
              </w:rPr>
              <w:t>人，管理人员</w:t>
            </w:r>
            <w:r>
              <w:rPr>
                <w:rFonts w:hint="eastAsia" w:ascii="宋体" w:hAnsi="宋体" w:cs="宋体"/>
                <w:szCs w:val="21"/>
                <w:lang w:val="en-US" w:eastAsia="zh-CN"/>
              </w:rPr>
              <w:t>5</w:t>
            </w:r>
            <w:r>
              <w:rPr>
                <w:rFonts w:hint="eastAsia" w:ascii="宋体" w:hAnsi="宋体" w:cs="宋体"/>
                <w:szCs w:val="21"/>
              </w:rPr>
              <w:t>人。焊工等持证上岗。生产人员进行三级安全教育、上岗培训等人力资源满足要求。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szCs w:val="21"/>
              </w:rPr>
              <w:t>离心机、自动搅拌机、电焊机、滚焊机、钢筋</w:t>
            </w:r>
            <w:r>
              <w:rPr>
                <w:rFonts w:hint="eastAsia" w:ascii="宋体" w:hAnsi="宋体"/>
                <w:szCs w:val="21"/>
                <w:lang w:val="en-US" w:eastAsia="zh-CN"/>
              </w:rPr>
              <w:t>切割机</w:t>
            </w:r>
            <w:r>
              <w:rPr>
                <w:rFonts w:hint="eastAsia" w:ascii="宋体" w:hAnsi="宋体"/>
                <w:szCs w:val="21"/>
              </w:rPr>
              <w:t>、打圈机、上料装载机、配料机、电杆钢模、外环缠绕机、悬滚机、管模、调直机、电动油泵、墩头机、涨拉机、</w:t>
            </w:r>
            <w:r>
              <w:rPr>
                <w:rFonts w:hint="eastAsia" w:ascii="宋体" w:hAnsi="宋体"/>
                <w:szCs w:val="21"/>
                <w:highlight w:val="none"/>
              </w:rPr>
              <w:t>万能摇臂钻床、砂轮机、手提砂轮机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Cs/>
                <w:szCs w:val="21"/>
              </w:rPr>
            </w:pPr>
            <w:r>
              <w:rPr>
                <w:rFonts w:hint="eastAsia" w:ascii="宋体" w:hAnsi="宋体"/>
                <w:bCs/>
                <w:szCs w:val="21"/>
              </w:rPr>
              <w:t>1.车间内有：</w:t>
            </w:r>
            <w:r>
              <w:rPr>
                <w:rFonts w:hint="eastAsia" w:ascii="宋体" w:hAnsi="宋体" w:cs="宋体"/>
                <w:bCs/>
                <w:szCs w:val="21"/>
              </w:rPr>
              <w:t>离心机、</w:t>
            </w:r>
            <w:r>
              <w:rPr>
                <w:rFonts w:hint="eastAsia" w:ascii="宋体" w:hAnsi="宋体"/>
                <w:szCs w:val="21"/>
              </w:rPr>
              <w:t>悬滚机、</w:t>
            </w:r>
            <w:r>
              <w:rPr>
                <w:rFonts w:hint="eastAsia" w:ascii="宋体" w:hAnsi="宋体" w:cs="宋体"/>
                <w:bCs/>
                <w:szCs w:val="21"/>
              </w:rPr>
              <w:t>搅拌机、装浆机、电动葫芦门式起重机、钢模</w:t>
            </w:r>
            <w:r>
              <w:rPr>
                <w:rFonts w:hint="eastAsia" w:ascii="宋体" w:hAnsi="宋体"/>
                <w:bCs/>
                <w:szCs w:val="21"/>
              </w:rPr>
              <w:t>等，设备布局合理，状态良好，设备附近粘贴有设备安全操作规程等。</w:t>
            </w:r>
          </w:p>
          <w:p>
            <w:pPr>
              <w:spacing w:line="240" w:lineRule="exact"/>
              <w:ind w:firstLine="420" w:firstLineChars="200"/>
              <w:rPr>
                <w:rFonts w:ascii="宋体" w:hAnsi="宋体"/>
                <w:bCs/>
                <w:szCs w:val="21"/>
              </w:rPr>
            </w:pPr>
            <w:r>
              <w:rPr>
                <w:rFonts w:hint="eastAsia" w:ascii="宋体" w:hAnsi="宋体"/>
                <w:bCs/>
                <w:szCs w:val="21"/>
              </w:rPr>
              <w:t>2.生产车间环境干净、整洁，基本满足生产洁净空间的需要。</w:t>
            </w:r>
          </w:p>
          <w:p>
            <w:pPr>
              <w:spacing w:line="240" w:lineRule="exact"/>
              <w:ind w:firstLine="420" w:firstLineChars="200"/>
              <w:rPr>
                <w:rFonts w:ascii="宋体" w:hAnsi="宋体"/>
                <w:bCs/>
                <w:szCs w:val="21"/>
              </w:rPr>
            </w:pPr>
            <w:r>
              <w:rPr>
                <w:rFonts w:hint="eastAsia" w:ascii="宋体" w:hAnsi="宋体"/>
                <w:bCs/>
                <w:szCs w:val="21"/>
              </w:rPr>
              <w:t>3.成品库房，产品放置整齐、规范、稳固。</w:t>
            </w:r>
          </w:p>
          <w:p>
            <w:pPr>
              <w:spacing w:line="240" w:lineRule="exact"/>
              <w:ind w:firstLine="420" w:firstLineChars="200"/>
              <w:rPr>
                <w:rFonts w:ascii="宋体" w:hAnsi="宋体"/>
                <w:bCs/>
                <w:szCs w:val="21"/>
              </w:rPr>
            </w:pPr>
            <w:r>
              <w:rPr>
                <w:rFonts w:hint="eastAsia" w:ascii="宋体" w:hAnsi="宋体"/>
                <w:bCs/>
                <w:szCs w:val="21"/>
              </w:rPr>
              <w:t>4.查生产车间布局合理，各类生产设备设施布置合理、物资摆放整齐，照明、采光符合生产要求，均配备了有效、足够数量的灭火器。</w:t>
            </w:r>
          </w:p>
          <w:p>
            <w:pPr>
              <w:spacing w:line="240" w:lineRule="exact"/>
              <w:ind w:firstLine="420" w:firstLineChars="200"/>
              <w:rPr>
                <w:rFonts w:ascii="宋体" w:hAnsi="宋体"/>
                <w:b/>
                <w:color w:val="000000" w:themeColor="text1"/>
                <w:sz w:val="20"/>
                <w:szCs w:val="20"/>
              </w:rPr>
            </w:pPr>
            <w:r>
              <w:rPr>
                <w:rFonts w:hint="eastAsia" w:ascii="宋体" w:hAnsi="宋体"/>
                <w:bCs/>
                <w:szCs w:val="21"/>
              </w:rPr>
              <w:t>5.查办公区各场所地面整洁、墙壁干净能满足工作需要。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b/>
                <w:bCs/>
              </w:rPr>
            </w:pPr>
            <w:r>
              <w:rPr>
                <w:rFonts w:hint="eastAsia"/>
                <w:b/>
                <w:bCs/>
              </w:rPr>
              <w:t>监视和测量资源</w:t>
            </w:r>
          </w:p>
          <w:p>
            <w:pPr>
              <w:pStyle w:val="2"/>
              <w:ind w:firstLine="460" w:firstLineChars="200"/>
            </w:pPr>
            <w:r>
              <w:rPr>
                <w:rFonts w:hint="eastAsia" w:ascii="宋体" w:hAnsi="宋体"/>
                <w:szCs w:val="21"/>
                <w:highlight w:val="none"/>
              </w:rPr>
              <w:t>电子台秤、电热鼓风干燥箱、沸煮箱、</w:t>
            </w:r>
            <w:r>
              <w:rPr>
                <w:rFonts w:hint="eastAsia" w:ascii="宋体" w:hAnsi="宋体"/>
                <w:szCs w:val="21"/>
                <w:highlight w:val="none"/>
                <w:lang w:val="en-US" w:eastAsia="zh-CN"/>
              </w:rPr>
              <w:t>电液式万能试验机、</w:t>
            </w:r>
            <w:r>
              <w:rPr>
                <w:rFonts w:hint="eastAsia" w:ascii="宋体" w:hAnsi="宋体"/>
                <w:szCs w:val="21"/>
                <w:highlight w:val="none"/>
              </w:rPr>
              <w:t>电液式压力试验机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ind w:firstLine="420" w:firstLineChars="200"/>
              <w:rPr>
                <w:rFonts w:ascii="宋体" w:hAnsi="宋体"/>
                <w:b/>
                <w:color w:val="000000" w:themeColor="text1"/>
                <w:sz w:val="20"/>
                <w:szCs w:val="20"/>
              </w:rPr>
            </w:pPr>
            <w:r>
              <w:rPr>
                <w:rFonts w:hint="eastAsia" w:ascii="宋体" w:hAnsi="宋体" w:cs="宋体"/>
                <w:bCs/>
                <w:szCs w:val="21"/>
              </w:rPr>
              <w:t>公司确定运行过程所需的知识，内部来源包括公司运作准则（管理制度、工作记录等）、专业技术应用、生产过程管理等。外部来源包括外来资料、法律法规、市场信息等。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ind w:firstLine="420" w:firstLineChars="200"/>
              <w:rPr>
                <w:rFonts w:ascii="宋体" w:hAnsi="宋体"/>
                <w:b/>
                <w:color w:val="000000" w:themeColor="text1"/>
                <w:sz w:val="20"/>
                <w:szCs w:val="20"/>
              </w:rPr>
            </w:pPr>
            <w:r>
              <w:rPr>
                <w:rFonts w:hint="eastAsia" w:ascii="宋体" w:hAnsi="宋体" w:cs="宋体"/>
                <w:bCs/>
                <w:szCs w:val="21"/>
              </w:rPr>
              <w:t>设备减震</w:t>
            </w:r>
            <w:r>
              <w:rPr>
                <w:rFonts w:hint="eastAsia"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b/>
                <w:bCs/>
              </w:rPr>
            </w:pPr>
            <w:r>
              <w:rPr>
                <w:rFonts w:hint="eastAsia"/>
                <w:b/>
                <w:bCs/>
              </w:rPr>
              <w:t>职业健康安全设施：</w:t>
            </w:r>
          </w:p>
          <w:p>
            <w:pPr>
              <w:pStyle w:val="2"/>
              <w:ind w:firstLine="460" w:firstLineChars="200"/>
            </w:pPr>
            <w:r>
              <w:rPr>
                <w:rFonts w:hint="eastAsia" w:ascii="宋体" w:hAnsi="宋体" w:cs="宋体"/>
                <w:bCs/>
                <w:szCs w:val="21"/>
              </w:rPr>
              <w:t>消防设备设施，满足要求。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rFonts w:hint="eastAsia"/>
                <w:b/>
                <w:bCs/>
              </w:rPr>
            </w:pPr>
            <w:r>
              <w:rPr>
                <w:rFonts w:hint="eastAsia"/>
                <w:b/>
                <w:bCs/>
              </w:rPr>
              <w:t>（包括针对组织宗旨，制定相关管理方针政策、确保方针为员工理解并在运营中实施，监视方针的实施并评审方针的适宜性）</w:t>
            </w:r>
          </w:p>
          <w:p>
            <w:pPr>
              <w:ind w:firstLine="420" w:firstLineChars="200"/>
              <w:rPr>
                <w:bCs/>
              </w:rPr>
            </w:pPr>
            <w:r>
              <w:rPr>
                <w:rFonts w:hint="eastAsia"/>
                <w:bCs/>
              </w:rPr>
              <w:t>经充分考虑本组织特点，本组织质量管理方针为：</w:t>
            </w:r>
            <w:r>
              <w:rPr>
                <w:rFonts w:hint="eastAsia" w:ascii="宋体" w:hAnsi="宋体" w:eastAsia="宋体" w:cs="Times New Roman"/>
                <w:bCs/>
                <w:szCs w:val="21"/>
              </w:rPr>
              <w:t>质量为先，信誉为重，管理为本，服务为诚</w:t>
            </w:r>
            <w:r>
              <w:rPr>
                <w:rFonts w:hint="eastAsia"/>
                <w:bCs/>
              </w:rPr>
              <w:t>。</w:t>
            </w:r>
          </w:p>
          <w:p>
            <w:pPr>
              <w:ind w:firstLine="420" w:firstLineChars="200"/>
              <w:rPr>
                <w:bCs/>
              </w:rPr>
            </w:pPr>
            <w:r>
              <w:rPr>
                <w:rFonts w:hint="eastAsia"/>
                <w:bCs/>
              </w:rPr>
              <w:t>公司通过各种宣传方式，将质量方针宣传到本公司各层次，确保方针得到正确的理解和实施。</w:t>
            </w:r>
          </w:p>
          <w:p>
            <w:pPr>
              <w:pStyle w:val="2"/>
            </w:pPr>
            <w:r>
              <w:rPr>
                <w:rFonts w:hint="eastAsia"/>
              </w:rPr>
              <w:t>在每次管理评审会议上，总经理组织对方针的持续适宜性和有效性进行评审，并根据评审结果对其做出必要的调整。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宋体" w:hAnsi="宋体" w:cs="宋体"/>
                <w:b/>
                <w:color w:val="000000" w:themeColor="text1"/>
                <w:szCs w:val="21"/>
              </w:rPr>
            </w:pPr>
            <w:r>
              <w:rPr>
                <w:rFonts w:hint="eastAsia" w:ascii="宋体" w:hAnsi="宋体" w:cs="宋体"/>
                <w:b/>
                <w:color w:val="000000" w:themeColor="text1"/>
                <w:szCs w:val="21"/>
              </w:rPr>
              <w:t>内部沟通的情况</w:t>
            </w:r>
            <w:r>
              <w:rPr>
                <w:rFonts w:hint="eastAsia" w:ascii="宋体" w:hAnsi="宋体" w:cs="宋体"/>
                <w:b/>
                <w:bCs/>
                <w:szCs w:val="21"/>
              </w:rPr>
              <w:t>：</w:t>
            </w:r>
            <w:r>
              <w:rPr>
                <w:rFonts w:hint="eastAsia" w:ascii="宋体" w:hAnsi="宋体" w:cs="宋体"/>
                <w:szCs w:val="21"/>
              </w:rPr>
              <w:t xml:space="preserve">有效  </w:t>
            </w:r>
            <w:r>
              <w:rPr>
                <w:rFonts w:hint="eastAsia" w:ascii="宋体" w:hAnsi="宋体" w:cs="宋体"/>
                <w:szCs w:val="21"/>
                <w:lang w:val="en-US" w:eastAsia="zh-CN"/>
              </w:rPr>
              <w:t xml:space="preserve"> </w:t>
            </w:r>
            <w:r>
              <w:rPr>
                <w:rFonts w:hint="eastAsia" w:ascii="宋体" w:hAnsi="宋体" w:cs="宋体"/>
                <w:b/>
                <w:bCs/>
                <w:szCs w:val="21"/>
              </w:rPr>
              <w:t>内部沟通方式：</w:t>
            </w:r>
            <w:r>
              <w:rPr>
                <w:rFonts w:hint="eastAsia" w:ascii="宋体" w:hAnsi="宋体" w:cs="宋体"/>
                <w:szCs w:val="21"/>
              </w:rPr>
              <w:t>会议、公告栏、发放文件、网络等</w:t>
            </w:r>
          </w:p>
          <w:p>
            <w:pPr>
              <w:spacing w:line="240" w:lineRule="exact"/>
              <w:rPr>
                <w:rFonts w:ascii="楷体_GB2312" w:eastAsia="楷体_GB2312"/>
                <w:b/>
                <w:color w:val="000000" w:themeColor="text1"/>
                <w:sz w:val="20"/>
                <w:szCs w:val="20"/>
              </w:rPr>
            </w:pPr>
            <w:r>
              <w:rPr>
                <w:rFonts w:hint="eastAsia" w:ascii="宋体" w:hAnsi="宋体" w:cs="宋体"/>
                <w:b/>
                <w:color w:val="000000" w:themeColor="text1"/>
                <w:szCs w:val="21"/>
              </w:rPr>
              <w:t xml:space="preserve">                </w:t>
            </w:r>
            <w:r>
              <w:rPr>
                <w:rFonts w:hint="eastAsia" w:ascii="宋体" w:hAnsi="宋体" w:cs="宋体"/>
                <w:b/>
                <w:color w:val="000000" w:themeColor="text1"/>
                <w:szCs w:val="21"/>
                <w:lang w:val="en-US" w:eastAsia="zh-CN"/>
              </w:rPr>
              <w:t xml:space="preserve">       </w:t>
            </w:r>
            <w:r>
              <w:rPr>
                <w:rFonts w:hint="eastAsia" w:ascii="宋体" w:hAnsi="宋体" w:cs="宋体"/>
                <w:b/>
                <w:color w:val="000000" w:themeColor="text1"/>
                <w:szCs w:val="21"/>
              </w:rPr>
              <w:t>内部沟通的效果：</w:t>
            </w:r>
            <w:r>
              <w:rPr>
                <w:rFonts w:hint="eastAsia" w:ascii="宋体" w:hAnsi="宋体" w:cs="宋体"/>
                <w:szCs w:val="21"/>
              </w:rPr>
              <w:t>能够得到有效沟通</w:t>
            </w:r>
          </w:p>
          <w:p>
            <w:pPr>
              <w:rPr>
                <w:rFonts w:ascii="宋体" w:hAnsi="宋体"/>
                <w:b/>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szCs w:val="21"/>
              </w:rPr>
              <w:t>顾客满意度调查表的发放、电话回访、到顾客现场进行询问等形式</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hint="eastAsia"/>
                <w:szCs w:val="21"/>
              </w:rPr>
            </w:pPr>
          </w:p>
          <w:p>
            <w:pPr>
              <w:spacing w:line="240" w:lineRule="exact"/>
              <w:ind w:firstLine="420" w:firstLineChars="200"/>
              <w:rPr>
                <w:b/>
                <w:color w:val="000000" w:themeColor="text1"/>
                <w:sz w:val="20"/>
                <w:szCs w:val="20"/>
              </w:rPr>
            </w:pPr>
            <w:r>
              <w:rPr>
                <w:rFonts w:hint="eastAsia"/>
                <w:szCs w:val="21"/>
              </w:rPr>
              <w:t>公司识别关键过程：</w:t>
            </w:r>
            <w:r>
              <w:rPr>
                <w:rFonts w:hint="eastAsia" w:ascii="宋体" w:hAnsi="宋体"/>
                <w:color w:val="000000"/>
                <w:szCs w:val="21"/>
                <w:u w:val="single"/>
              </w:rPr>
              <w:t>离心成型、悬滚成型</w:t>
            </w:r>
            <w:r>
              <w:rPr>
                <w:rFonts w:hint="eastAsia"/>
                <w:szCs w:val="21"/>
              </w:rPr>
              <w:t>过程，需要确认的过程：</w:t>
            </w:r>
            <w:r>
              <w:rPr>
                <w:rFonts w:hint="eastAsia" w:ascii="宋体" w:hAnsi="宋体" w:cs="宋体"/>
                <w:bCs/>
                <w:szCs w:val="21"/>
              </w:rPr>
              <w:t>销售、焊接过程</w:t>
            </w:r>
            <w:r>
              <w:rPr>
                <w:rFonts w:hint="eastAsia"/>
                <w:szCs w:val="21"/>
              </w:rPr>
              <w:t>，对其过程进行了重点有效控制，控制有效。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ind w:firstLine="420" w:firstLineChars="200"/>
              <w:rPr>
                <w:b/>
                <w:color w:val="000000" w:themeColor="text1"/>
                <w:sz w:val="20"/>
                <w:szCs w:val="20"/>
              </w:rPr>
            </w:pPr>
            <w:r>
              <w:rPr>
                <w:rFonts w:hint="eastAsia"/>
                <w:szCs w:val="21"/>
              </w:rPr>
              <w:t>能稳定向顾客提供较满意的产品和销售服务。对顾客进行满意度调查，并进行了简要分析。</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10" w:firstLineChars="100"/>
              <w:rPr>
                <w:b/>
                <w:color w:val="000000" w:themeColor="text1"/>
                <w:sz w:val="20"/>
                <w:szCs w:val="20"/>
              </w:rPr>
            </w:pPr>
            <w:r>
              <w:rPr>
                <w:rFonts w:hint="eastAsia" w:ascii="宋体" w:hAnsi="宋体" w:cs="宋体"/>
                <w:szCs w:val="21"/>
              </w:rPr>
              <w:t>环形混凝土电杆、</w:t>
            </w:r>
            <w:r>
              <w:rPr>
                <w:szCs w:val="21"/>
              </w:rPr>
              <w:t>钢筋混凝土排水管</w:t>
            </w:r>
            <w:r>
              <w:rPr>
                <w:rFonts w:hint="eastAsia" w:ascii="宋体" w:hAnsi="宋体"/>
                <w:bCs/>
                <w:szCs w:val="21"/>
              </w:rPr>
              <w:t>检验报告，见附件。</w:t>
            </w: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rFonts w:hint="eastAsia"/>
                <w:szCs w:val="21"/>
              </w:rPr>
            </w:pPr>
          </w:p>
          <w:p>
            <w:pPr>
              <w:spacing w:line="240" w:lineRule="exact"/>
              <w:ind w:firstLine="420" w:firstLineChars="200"/>
              <w:rPr>
                <w:b/>
                <w:color w:val="000000" w:themeColor="text1"/>
                <w:sz w:val="20"/>
                <w:szCs w:val="20"/>
              </w:rPr>
            </w:pPr>
            <w:r>
              <w:rPr>
                <w:rFonts w:hint="eastAsia"/>
                <w:szCs w:val="21"/>
              </w:rPr>
              <w:t>能对发现的不符合项及时进行纠正和控制。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ind w:firstLine="420" w:firstLineChars="200"/>
              <w:rPr>
                <w:b/>
                <w:color w:val="000000" w:themeColor="text1"/>
                <w:sz w:val="20"/>
                <w:szCs w:val="20"/>
              </w:rPr>
            </w:pPr>
            <w:r>
              <w:rPr>
                <w:rFonts w:hint="eastAsia" w:ascii="宋体" w:hAnsi="宋体"/>
                <w:szCs w:val="21"/>
                <w:highlight w:val="none"/>
              </w:rPr>
              <w:t>起重机械</w:t>
            </w:r>
            <w:r>
              <w:rPr>
                <w:rFonts w:hint="eastAsia" w:ascii="宋体" w:hAnsi="宋体"/>
                <w:szCs w:val="21"/>
                <w:highlight w:val="none"/>
                <w:lang w:eastAsia="zh-CN"/>
              </w:rPr>
              <w:t>、锅炉</w:t>
            </w:r>
            <w:r>
              <w:rPr>
                <w:rFonts w:hint="eastAsia" w:ascii="宋体" w:hAnsi="宋体"/>
                <w:szCs w:val="21"/>
                <w:highlight w:val="none"/>
              </w:rPr>
              <w:t>已进行检定，见附件。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525" w:firstLineChars="250"/>
              <w:rPr>
                <w:rFonts w:hint="eastAsia" w:ascii="宋体" w:hAnsi="宋体" w:cs="宋体"/>
                <w:szCs w:val="21"/>
              </w:rPr>
            </w:pPr>
          </w:p>
          <w:p>
            <w:pPr>
              <w:spacing w:line="240" w:lineRule="exact"/>
              <w:ind w:firstLine="525" w:firstLineChars="250"/>
              <w:rPr>
                <w:b/>
                <w:color w:val="000000" w:themeColor="text1"/>
                <w:sz w:val="20"/>
                <w:szCs w:val="20"/>
              </w:rPr>
            </w:pPr>
            <w:r>
              <w:rPr>
                <w:rFonts w:hint="eastAsia" w:ascii="宋体" w:hAnsi="宋体" w:cs="宋体"/>
                <w:szCs w:val="21"/>
              </w:rPr>
              <w:t>对质量目标进行了考核，查到202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第二季度</w:t>
            </w:r>
            <w:r>
              <w:rPr>
                <w:rFonts w:hint="eastAsia" w:ascii="宋体" w:hAnsi="宋体" w:cs="宋体"/>
                <w:szCs w:val="21"/>
              </w:rPr>
              <w:t>公司及各部门完成情况，各项质量目标均已完成。目标具备可测量性。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4"/>
              </w:numPr>
              <w:spacing w:line="240" w:lineRule="exact"/>
              <w:ind w:left="100" w:hanging="105" w:hangingChars="50"/>
              <w:rPr>
                <w:rFonts w:hint="eastAsia"/>
                <w:b/>
                <w:bCs/>
              </w:rPr>
            </w:pPr>
            <w:r>
              <w:rPr>
                <w:rFonts w:hint="eastAsia"/>
                <w:b/>
                <w:bCs/>
              </w:rPr>
              <w:t>顾客满意</w:t>
            </w:r>
          </w:p>
          <w:p>
            <w:pPr>
              <w:pStyle w:val="2"/>
              <w:rPr>
                <w:rFonts w:hint="eastAsia"/>
              </w:rPr>
            </w:pPr>
          </w:p>
          <w:p>
            <w:pPr>
              <w:spacing w:line="240" w:lineRule="exact"/>
              <w:ind w:firstLine="525" w:firstLineChars="250"/>
              <w:rPr>
                <w:rFonts w:hint="eastAsia" w:ascii="宋体" w:hAnsi="宋体" w:cs="宋体"/>
                <w:szCs w:val="21"/>
              </w:rPr>
            </w:pPr>
            <w:r>
              <w:rPr>
                <w:rFonts w:hint="eastAsia" w:ascii="宋体" w:hAnsi="宋体" w:cs="宋体"/>
                <w:szCs w:val="21"/>
              </w:rPr>
              <w:t>制定了《顾客满意程度测量程序》，公司于20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lang w:eastAsia="zh-CN"/>
              </w:rPr>
              <w:t>日</w:t>
            </w:r>
            <w:r>
              <w:rPr>
                <w:rFonts w:hint="eastAsia" w:ascii="宋体" w:hAnsi="宋体" w:cs="宋体"/>
                <w:szCs w:val="21"/>
              </w:rPr>
              <w:t>以满意度调查表的方式向4家顾客进行了，发放4份，回收4份；</w:t>
            </w:r>
          </w:p>
          <w:p>
            <w:pPr>
              <w:spacing w:line="240" w:lineRule="exact"/>
              <w:ind w:firstLine="525" w:firstLineChars="250"/>
              <w:rPr>
                <w:rFonts w:hint="eastAsia" w:ascii="宋体" w:hAnsi="宋体" w:cs="宋体"/>
                <w:szCs w:val="21"/>
              </w:rPr>
            </w:pPr>
            <w:r>
              <w:rPr>
                <w:rFonts w:hint="eastAsia" w:ascii="宋体" w:hAnsi="宋体" w:cs="宋体"/>
                <w:szCs w:val="21"/>
              </w:rPr>
              <w:t>调查项目：实物质量、服务质量、交付及时性等</w:t>
            </w:r>
          </w:p>
          <w:p>
            <w:pPr>
              <w:spacing w:line="240" w:lineRule="exact"/>
              <w:ind w:firstLine="525" w:firstLineChars="250"/>
              <w:rPr>
                <w:rFonts w:hint="eastAsia" w:ascii="宋体" w:hAnsi="宋体" w:cs="宋体"/>
                <w:szCs w:val="21"/>
              </w:rPr>
            </w:pPr>
            <w:r>
              <w:rPr>
                <w:rFonts w:hint="eastAsia" w:ascii="宋体" w:hAnsi="宋体" w:cs="宋体"/>
                <w:szCs w:val="21"/>
              </w:rPr>
              <w:t>对</w:t>
            </w:r>
            <w:r>
              <w:rPr>
                <w:rFonts w:hint="eastAsia" w:ascii="宋体" w:hAnsi="宋体" w:cs="宋体"/>
                <w:szCs w:val="21"/>
                <w:lang w:val="en-US" w:eastAsia="zh-CN"/>
              </w:rPr>
              <w:t>陇西县市政工程公司、国网甘肃省电力公司兰州供电公司、</w:t>
            </w:r>
            <w:r>
              <w:rPr>
                <w:rFonts w:hint="eastAsia" w:ascii="宋体" w:hAnsi="宋体" w:cs="宋体"/>
                <w:szCs w:val="21"/>
                <w:lang w:eastAsia="zh-CN"/>
              </w:rPr>
              <w:t>甘肃昊源工贸有限责任公司</w:t>
            </w:r>
            <w:r>
              <w:rPr>
                <w:rFonts w:hint="eastAsia" w:ascii="宋体" w:hAnsi="宋体" w:cs="宋体"/>
                <w:szCs w:val="21"/>
              </w:rPr>
              <w:t>等客户进行了调查，经对顾客满意度调查结果统计：顾客满意度为：9</w:t>
            </w:r>
            <w:r>
              <w:rPr>
                <w:rFonts w:hint="eastAsia" w:ascii="宋体" w:hAnsi="宋体" w:cs="宋体"/>
                <w:szCs w:val="21"/>
                <w:lang w:val="en-US" w:eastAsia="zh-CN"/>
              </w:rPr>
              <w:t>8</w:t>
            </w:r>
            <w:r>
              <w:rPr>
                <w:rFonts w:hint="eastAsia" w:ascii="宋体" w:hAnsi="宋体" w:cs="宋体"/>
                <w:szCs w:val="21"/>
              </w:rPr>
              <w:t>%；满足质量目标≥85%的要求。</w:t>
            </w:r>
          </w:p>
          <w:p>
            <w:pPr>
              <w:spacing w:line="240" w:lineRule="exact"/>
              <w:ind w:firstLine="525" w:firstLineChars="250"/>
              <w:rPr>
                <w:rFonts w:hint="eastAsia" w:ascii="宋体" w:hAnsi="宋体" w:cs="宋体"/>
                <w:szCs w:val="21"/>
              </w:rPr>
            </w:pPr>
            <w:r>
              <w:rPr>
                <w:rFonts w:hint="eastAsia" w:ascii="宋体" w:hAnsi="宋体" w:cs="宋体"/>
                <w:szCs w:val="21"/>
              </w:rPr>
              <w:t>顾客不满意的项目为：交货及时性，其他项均比较满意。</w:t>
            </w:r>
          </w:p>
          <w:p>
            <w:pPr>
              <w:spacing w:line="240" w:lineRule="exact"/>
              <w:ind w:firstLine="525" w:firstLineChars="250"/>
              <w:rPr>
                <w:rFonts w:hint="eastAsia" w:ascii="宋体" w:hAnsi="宋体" w:cs="宋体"/>
                <w:szCs w:val="21"/>
              </w:rPr>
            </w:pPr>
            <w:r>
              <w:rPr>
                <w:rFonts w:hint="eastAsia" w:ascii="宋体" w:hAnsi="宋体" w:cs="宋体"/>
                <w:szCs w:val="21"/>
              </w:rPr>
              <w:t>对此项不满意进行了分析，由于现市场需求量增大，人员、设备等资源不足。</w:t>
            </w:r>
          </w:p>
          <w:p>
            <w:pPr>
              <w:spacing w:line="240" w:lineRule="exact"/>
              <w:ind w:firstLine="525" w:firstLineChars="250"/>
            </w:pPr>
            <w:r>
              <w:rPr>
                <w:rFonts w:hint="eastAsia" w:ascii="宋体" w:hAnsi="宋体" w:cs="宋体"/>
                <w:szCs w:val="21"/>
              </w:rPr>
              <w:t>措施：招聘各部门所需的人员，增加新设备，更换陈旧落后的设备，顾客满意度达到目标要，到目前无顾客投诉现象发生。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ind w:firstLine="420" w:firstLineChars="200"/>
              <w:rPr>
                <w:rFonts w:ascii="宋体" w:hAnsi="宋体" w:cs="宋体"/>
                <w:szCs w:val="21"/>
              </w:rPr>
            </w:pPr>
            <w:r>
              <w:rPr>
                <w:rFonts w:hint="eastAsia" w:ascii="宋体" w:hAnsi="宋体" w:cs="宋体"/>
                <w:szCs w:val="21"/>
              </w:rPr>
              <w:t>于</w:t>
            </w:r>
            <w:r>
              <w:rPr>
                <w:rFonts w:hint="eastAsia" w:ascii="宋体" w:hAnsi="宋体" w:eastAsia="宋体" w:cs="宋体"/>
                <w:szCs w:val="21"/>
                <w:lang w:val="en-US" w:eastAsia="zh-CN"/>
              </w:rPr>
              <w:t>2021</w:t>
            </w:r>
            <w:r>
              <w:rPr>
                <w:rFonts w:hint="eastAsia" w:ascii="宋体" w:hAnsi="宋体" w:eastAsia="宋体" w:cs="宋体"/>
                <w:szCs w:val="21"/>
              </w:rPr>
              <w:t>年</w:t>
            </w:r>
            <w:r>
              <w:rPr>
                <w:rFonts w:hint="eastAsia" w:ascii="宋体" w:hAnsi="宋体" w:eastAsia="宋体" w:cs="宋体"/>
                <w:szCs w:val="21"/>
                <w:lang w:val="en-US" w:eastAsia="zh-CN"/>
              </w:rPr>
              <w:t>4</w:t>
            </w:r>
            <w:r>
              <w:rPr>
                <w:rFonts w:hint="eastAsia" w:ascii="宋体" w:hAnsi="宋体" w:eastAsia="宋体" w:cs="宋体"/>
                <w:szCs w:val="21"/>
              </w:rPr>
              <w:t>月</w:t>
            </w:r>
            <w:r>
              <w:rPr>
                <w:rFonts w:hint="eastAsia" w:ascii="宋体" w:hAnsi="宋体" w:eastAsia="宋体" w:cs="宋体"/>
                <w:szCs w:val="21"/>
                <w:lang w:val="en-US" w:eastAsia="zh-CN"/>
              </w:rPr>
              <w:t>13</w:t>
            </w:r>
            <w:r>
              <w:rPr>
                <w:rFonts w:hint="eastAsia" w:ascii="宋体" w:hAnsi="宋体" w:eastAsia="宋体" w:cs="宋体"/>
                <w:szCs w:val="21"/>
              </w:rPr>
              <w:t>日至</w:t>
            </w:r>
            <w:r>
              <w:rPr>
                <w:rFonts w:hint="eastAsia" w:ascii="宋体" w:hAnsi="宋体" w:eastAsia="宋体" w:cs="宋体"/>
                <w:szCs w:val="21"/>
                <w:lang w:val="en-US" w:eastAsia="zh-CN"/>
              </w:rPr>
              <w:t>14</w:t>
            </w:r>
            <w:r>
              <w:rPr>
                <w:rFonts w:hint="eastAsia" w:ascii="宋体" w:hAnsi="宋体" w:eastAsia="宋体" w:cs="宋体"/>
                <w:szCs w:val="21"/>
              </w:rPr>
              <w:t>日</w:t>
            </w:r>
            <w:r>
              <w:rPr>
                <w:rFonts w:hint="eastAsia" w:ascii="宋体" w:hAnsi="宋体" w:cs="宋体"/>
                <w:szCs w:val="21"/>
              </w:rPr>
              <w:t>进行，提供了内审检查表、计划、签到表等，包括总经理、管代、综合办公室、生产技术部</w:t>
            </w:r>
            <w:r>
              <w:rPr>
                <w:rFonts w:hint="eastAsia" w:ascii="宋体" w:hAnsi="宋体" w:cs="宋体"/>
                <w:szCs w:val="21"/>
                <w:lang w:eastAsia="zh-CN"/>
              </w:rPr>
              <w:t>、</w:t>
            </w:r>
            <w:r>
              <w:rPr>
                <w:rFonts w:hint="eastAsia" w:ascii="宋体" w:hAnsi="宋体" w:cs="宋体"/>
                <w:szCs w:val="21"/>
                <w:lang w:val="en-US" w:eastAsia="zh-CN"/>
              </w:rPr>
              <w:t>经营部</w:t>
            </w:r>
            <w:r>
              <w:rPr>
                <w:rFonts w:hint="eastAsia" w:ascii="宋体" w:hAnsi="宋体" w:cs="宋体"/>
                <w:szCs w:val="21"/>
              </w:rPr>
              <w:t>等的审核检查表，其内容符合审核计划规定的要求，包括了部门所有要素的内容，记录中包括审核内容、审核方法、记录、审核时间、审核人员等。从以上审核记录、审核发现等相关的检查记录，事实描述基本清楚，管理体系运行情况符合情况。没有审核自己工作的情况，审核员能保证审核的客观性、公正性。</w:t>
            </w:r>
          </w:p>
          <w:p>
            <w:pPr>
              <w:ind w:firstLine="420" w:firstLineChars="200"/>
              <w:rPr>
                <w:rFonts w:ascii="宋体" w:hAnsi="宋体" w:cs="宋体"/>
                <w:szCs w:val="21"/>
              </w:rPr>
            </w:pPr>
            <w:r>
              <w:rPr>
                <w:rFonts w:hint="eastAsia" w:ascii="宋体" w:hAnsi="宋体" w:cs="宋体"/>
                <w:szCs w:val="21"/>
              </w:rPr>
              <w:t>本次内审共Q发现一般不合格项</w:t>
            </w:r>
            <w:r>
              <w:rPr>
                <w:rFonts w:hint="eastAsia" w:ascii="宋体" w:hAnsi="宋体" w:cs="宋体"/>
                <w:szCs w:val="21"/>
                <w:lang w:val="en-US" w:eastAsia="zh-CN"/>
              </w:rPr>
              <w:t>2</w:t>
            </w:r>
            <w:r>
              <w:rPr>
                <w:rFonts w:hint="eastAsia" w:ascii="宋体" w:hAnsi="宋体" w:cs="宋体"/>
                <w:szCs w:val="21"/>
              </w:rPr>
              <w:t>个。</w:t>
            </w:r>
          </w:p>
          <w:p>
            <w:pPr>
              <w:ind w:firstLine="420" w:firstLineChars="200"/>
              <w:rPr>
                <w:rFonts w:ascii="宋体" w:hAnsi="宋体" w:cs="宋体"/>
                <w:szCs w:val="21"/>
              </w:rPr>
            </w:pPr>
            <w:r>
              <w:rPr>
                <w:rFonts w:hint="eastAsia" w:ascii="宋体" w:hAnsi="宋体" w:cs="宋体"/>
                <w:szCs w:val="21"/>
              </w:rPr>
              <w:t>提供内部管理体系审核报告，内容包括：审核目的、范围、依据，描述了审核的过程，对管理体系的评价及审核结论是从审核结果可以看出，公司管理体系的运行是有效的，各部门能够按照文件规定要求去做，体系与公司的实际情况也是符合的。</w:t>
            </w:r>
          </w:p>
          <w:p>
            <w:pPr>
              <w:spacing w:line="240" w:lineRule="exact"/>
              <w:ind w:firstLine="420" w:firstLineChars="200"/>
              <w:rPr>
                <w:b/>
                <w:color w:val="000000" w:themeColor="text1"/>
                <w:sz w:val="20"/>
                <w:szCs w:val="20"/>
              </w:rPr>
            </w:pPr>
            <w:r>
              <w:rPr>
                <w:rFonts w:hint="eastAsia" w:ascii="宋体" w:hAnsi="宋体" w:cs="宋体"/>
                <w:szCs w:val="21"/>
              </w:rPr>
              <w:t>内审结论：管理体运行基本上是有效的。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Cs/>
              </w:rPr>
            </w:pPr>
            <w:r>
              <w:rPr>
                <w:rFonts w:hint="eastAsia"/>
                <w:bCs/>
              </w:rPr>
              <w:t>公司于</w:t>
            </w:r>
            <w:r>
              <w:rPr>
                <w:rFonts w:hint="eastAsia" w:ascii="Times New Roman" w:hAnsi="Times New Roman" w:eastAsia="宋体" w:cs="Times New Roman"/>
                <w:bCs/>
                <w:lang w:eastAsia="zh-CN"/>
              </w:rPr>
              <w:t>2021</w:t>
            </w:r>
            <w:r>
              <w:rPr>
                <w:rFonts w:hint="eastAsia" w:ascii="Times New Roman" w:hAnsi="Times New Roman" w:eastAsia="宋体" w:cs="Times New Roman"/>
                <w:bCs/>
              </w:rPr>
              <w:t>年</w:t>
            </w:r>
            <w:r>
              <w:rPr>
                <w:rFonts w:hint="eastAsia" w:ascii="Times New Roman" w:hAnsi="Times New Roman" w:eastAsia="宋体" w:cs="Times New Roman"/>
                <w:bCs/>
                <w:lang w:val="en-US" w:eastAsia="zh-CN"/>
              </w:rPr>
              <w:t>5</w:t>
            </w:r>
            <w:r>
              <w:rPr>
                <w:rFonts w:hint="eastAsia" w:ascii="Times New Roman" w:hAnsi="Times New Roman" w:eastAsia="宋体" w:cs="Times New Roman"/>
                <w:bCs/>
              </w:rPr>
              <w:t>月</w:t>
            </w:r>
            <w:r>
              <w:rPr>
                <w:rFonts w:hint="eastAsia" w:ascii="Times New Roman" w:hAnsi="Times New Roman" w:eastAsia="宋体" w:cs="Times New Roman"/>
                <w:bCs/>
                <w:lang w:val="en-US" w:eastAsia="zh-CN"/>
              </w:rPr>
              <w:t>7</w:t>
            </w:r>
            <w:r>
              <w:rPr>
                <w:rFonts w:hint="eastAsia" w:ascii="Times New Roman" w:hAnsi="Times New Roman" w:eastAsia="宋体" w:cs="Times New Roman"/>
                <w:bCs/>
              </w:rPr>
              <w:t>日进</w:t>
            </w:r>
            <w:r>
              <w:rPr>
                <w:rFonts w:hint="eastAsia"/>
                <w:bCs/>
              </w:rPr>
              <w:t>行管理评审。</w:t>
            </w:r>
          </w:p>
          <w:p>
            <w:pPr>
              <w:ind w:firstLine="420" w:firstLineChars="200"/>
              <w:rPr>
                <w:bCs/>
              </w:rPr>
            </w:pPr>
            <w:r>
              <w:rPr>
                <w:rFonts w:hint="eastAsia"/>
                <w:bCs/>
              </w:rPr>
              <w:t>经过评审认为：本公司管理体系是符合标准的、是符合我公司实际的、是可行的、是有效的、充分的、适宜的。管理方针、管理目标是适宜的。</w:t>
            </w:r>
          </w:p>
          <w:p>
            <w:pPr>
              <w:rPr>
                <w:bCs/>
              </w:rPr>
            </w:pPr>
            <w:r>
              <w:rPr>
                <w:rFonts w:hint="eastAsia"/>
                <w:bCs/>
              </w:rPr>
              <w:t>管理评审改进决议：</w:t>
            </w:r>
          </w:p>
          <w:p>
            <w:pPr>
              <w:ind w:firstLine="420" w:firstLineChars="200"/>
              <w:rPr>
                <w:bCs/>
              </w:rPr>
            </w:pPr>
            <w:r>
              <w:rPr>
                <w:rFonts w:hint="eastAsia"/>
                <w:bCs/>
              </w:rPr>
              <w:t>在质量管理体系推行运作时，质量管理体系推行还存在不少待改进之处，主要有以下几点：</w:t>
            </w:r>
          </w:p>
          <w:p>
            <w:pPr>
              <w:ind w:firstLine="420" w:firstLineChars="200"/>
              <w:rPr>
                <w:rFonts w:hint="eastAsia" w:ascii="Times New Roman" w:hAnsi="Times New Roman" w:eastAsia="宋体" w:cs="Times New Roman"/>
                <w:bCs/>
                <w:lang w:eastAsia="zh-CN"/>
              </w:rPr>
            </w:pPr>
            <w:r>
              <w:rPr>
                <w:rFonts w:hint="eastAsia" w:cs="Times New Roman"/>
                <w:bCs/>
                <w:lang w:val="en-US" w:eastAsia="zh-CN"/>
              </w:rPr>
              <w:t>1.</w:t>
            </w:r>
            <w:r>
              <w:rPr>
                <w:rFonts w:hint="eastAsia" w:ascii="Times New Roman" w:hAnsi="Times New Roman" w:eastAsia="宋体" w:cs="Times New Roman"/>
                <w:bCs/>
              </w:rPr>
              <w:t>加强</w:t>
            </w:r>
            <w:r>
              <w:rPr>
                <w:rFonts w:hint="eastAsia" w:ascii="Times New Roman" w:hAnsi="Times New Roman" w:eastAsia="宋体" w:cs="Times New Roman"/>
                <w:bCs/>
                <w:lang w:val="en-US" w:eastAsia="zh-CN"/>
              </w:rPr>
              <w:t>质量管理体系标准培训</w:t>
            </w:r>
            <w:r>
              <w:rPr>
                <w:rFonts w:hint="eastAsia" w:ascii="Times New Roman" w:hAnsi="Times New Roman" w:eastAsia="宋体" w:cs="Times New Roman"/>
                <w:bCs/>
              </w:rPr>
              <w:t>；</w:t>
            </w:r>
          </w:p>
          <w:p>
            <w:pPr>
              <w:ind w:firstLine="420" w:firstLineChars="200"/>
              <w:rPr>
                <w:b/>
                <w:color w:val="000000" w:themeColor="text1"/>
                <w:sz w:val="20"/>
                <w:szCs w:val="20"/>
              </w:rPr>
            </w:pPr>
            <w:r>
              <w:rPr>
                <w:rFonts w:hint="eastAsia" w:cs="Times New Roman"/>
                <w:bCs/>
                <w:lang w:val="en-US" w:eastAsia="zh-CN"/>
              </w:rPr>
              <w:t>2.</w:t>
            </w:r>
            <w:r>
              <w:rPr>
                <w:rFonts w:hint="eastAsia" w:ascii="Times New Roman" w:hAnsi="Times New Roman" w:eastAsia="宋体" w:cs="Times New Roman"/>
                <w:bCs/>
              </w:rPr>
              <w:t>继续加强</w:t>
            </w:r>
            <w:r>
              <w:rPr>
                <w:rFonts w:hint="eastAsia" w:ascii="Times New Roman" w:hAnsi="Times New Roman" w:eastAsia="宋体" w:cs="Times New Roman"/>
                <w:bCs/>
                <w:lang w:eastAsia="zh-CN"/>
              </w:rPr>
              <w:t>质量管理体系公司和各部门分解目标完成</w:t>
            </w:r>
            <w:r>
              <w:rPr>
                <w:rFonts w:hint="eastAsia" w:ascii="Times New Roman" w:hAnsi="Times New Roman" w:eastAsia="宋体" w:cs="Times New Roman"/>
                <w:bCs/>
              </w:rPr>
              <w:t>考核与奖惩措施。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w:t>
            </w:r>
            <w:r>
              <w:rPr>
                <w:rFonts w:hint="eastAsia"/>
                <w:b/>
                <w:color w:val="000000" w:themeColor="text1"/>
                <w:sz w:val="20"/>
                <w:szCs w:val="20"/>
                <w:lang w:eastAsia="zh-CN"/>
              </w:rPr>
              <w:t>.</w:t>
            </w:r>
            <w:r>
              <w:rPr>
                <w:rFonts w:hint="eastAsia"/>
                <w:b/>
                <w:color w:val="000000" w:themeColor="text1"/>
                <w:sz w:val="20"/>
                <w:szCs w:val="20"/>
              </w:rPr>
              <w:t>纠正/预防措施的实施及效果</w:t>
            </w:r>
            <w:r>
              <w:rPr>
                <w:rFonts w:hint="eastAsia"/>
                <w:b/>
                <w:color w:val="000000" w:themeColor="text1"/>
                <w:spacing w:val="-8"/>
                <w:sz w:val="20"/>
                <w:szCs w:val="20"/>
              </w:rPr>
              <w:t>;</w:t>
            </w:r>
          </w:p>
          <w:p>
            <w:pPr>
              <w:spacing w:line="240" w:lineRule="exact"/>
              <w:rPr>
                <w:rFonts w:hint="eastAsia"/>
                <w:bCs/>
                <w:color w:val="000000" w:themeColor="text1"/>
                <w:szCs w:val="21"/>
              </w:rPr>
            </w:pPr>
          </w:p>
          <w:p>
            <w:pPr>
              <w:spacing w:line="240" w:lineRule="exact"/>
              <w:ind w:firstLine="420" w:firstLineChars="200"/>
              <w:rPr>
                <w:b/>
                <w:color w:val="000000" w:themeColor="text1"/>
                <w:sz w:val="20"/>
                <w:szCs w:val="20"/>
              </w:rPr>
            </w:pPr>
            <w:r>
              <w:rPr>
                <w:rFonts w:hint="eastAsia"/>
                <w:bCs/>
                <w:color w:val="000000" w:themeColor="text1"/>
                <w:szCs w:val="21"/>
              </w:rPr>
              <w:t>对内审发现的不合格进行了分析、制定了纠正措施，实施了整改，对整改效果进行了追踪验证，结论合格，对不合格品可以进行有效控制。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lang w:eastAsia="zh-CN"/>
              </w:rPr>
              <w:t>.</w:t>
            </w:r>
            <w:r>
              <w:rPr>
                <w:rFonts w:hint="eastAsia"/>
                <w:b/>
                <w:color w:val="000000" w:themeColor="text1"/>
                <w:spacing w:val="-20"/>
                <w:sz w:val="20"/>
                <w:szCs w:val="20"/>
              </w:rPr>
              <w:t>（近一年）重大事故、顾客/相关方投诉：：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Cs/>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Cs/>
                <w:color w:val="000000" w:themeColor="text1"/>
                <w:sz w:val="20"/>
                <w:szCs w:val="20"/>
              </w:rPr>
              <w:t>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0"/>
              </w:numPr>
              <w:spacing w:line="240" w:lineRule="exact"/>
              <w:ind w:leftChars="-50"/>
              <w:rPr>
                <w:rFonts w:hint="eastAsia"/>
                <w:b/>
                <w:bCs/>
              </w:rPr>
            </w:pPr>
            <w:r>
              <w:rPr>
                <w:rFonts w:hint="eastAsia"/>
                <w:b/>
                <w:bCs/>
                <w:lang w:val="en-US" w:eastAsia="zh-CN"/>
              </w:rPr>
              <w:t>4.</w:t>
            </w:r>
            <w:r>
              <w:rPr>
                <w:rFonts w:hint="eastAsia"/>
                <w:b/>
                <w:bCs/>
              </w:rPr>
              <w:t>创新情况</w:t>
            </w:r>
          </w:p>
          <w:p>
            <w:pPr>
              <w:pStyle w:val="2"/>
              <w:numPr>
                <w:ilvl w:val="0"/>
                <w:numId w:val="0"/>
              </w:numPr>
              <w:ind w:leftChars="-50"/>
            </w:pPr>
            <w:r>
              <w:rPr>
                <w:rFonts w:hint="eastAsia"/>
                <w:bCs/>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2</w:t>
      </w:r>
      <w:r>
        <w:rPr>
          <w:rFonts w:hint="eastAsia"/>
          <w:b/>
          <w:color w:val="000000" w:themeColor="text1"/>
        </w:rPr>
        <w:t>项分布在</w:t>
      </w:r>
      <w:r>
        <w:rPr>
          <w:rFonts w:hint="eastAsia" w:ascii="方正仿宋简体" w:eastAsia="方正仿宋简体"/>
          <w:b/>
        </w:rPr>
        <w:t>生产技术部</w:t>
      </w:r>
      <w:r>
        <w:rPr>
          <w:rFonts w:ascii="宋体" w:hAnsi="宋体"/>
          <w:b/>
          <w:sz w:val="22"/>
          <w:szCs w:val="22"/>
        </w:rPr>
        <w:t>8.5.2</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pStyle w:val="2"/>
        <w:rPr>
          <w:b/>
          <w:color w:val="000000" w:themeColor="text1"/>
          <w:spacing w:val="-10"/>
          <w:szCs w:val="21"/>
        </w:rPr>
      </w:pPr>
    </w:p>
    <w:p>
      <w:pPr>
        <w:pStyle w:val="2"/>
        <w:rPr>
          <w:b/>
          <w:color w:val="000000" w:themeColor="text1"/>
          <w:spacing w:val="-10"/>
          <w:szCs w:val="21"/>
        </w:rPr>
      </w:pPr>
    </w:p>
    <w:p>
      <w:pPr>
        <w:pStyle w:val="2"/>
        <w:rPr>
          <w:b/>
          <w:color w:val="000000" w:themeColor="text1"/>
          <w:spacing w:val="-10"/>
          <w:szCs w:val="21"/>
        </w:rPr>
      </w:pPr>
    </w:p>
    <w:p>
      <w:pPr>
        <w:pStyle w:val="2"/>
        <w:rPr>
          <w:rFonts w:hint="eastAsia" w:eastAsia="宋体"/>
          <w:b/>
          <w:color w:val="000000" w:themeColor="text1"/>
          <w:spacing w:val="-10"/>
          <w:szCs w:val="21"/>
          <w:lang w:val="en-US" w:eastAsia="zh-CN"/>
        </w:rPr>
      </w:pPr>
    </w:p>
    <w:p>
      <w:pPr>
        <w:snapToGrid w:val="0"/>
        <w:spacing w:line="360" w:lineRule="auto"/>
        <w:ind w:left="364" w:leftChars="-472" w:hanging="1355" w:hangingChars="519"/>
        <w:rPr>
          <w:rFonts w:hint="eastAsia"/>
          <w:b/>
          <w:color w:val="000000" w:themeColor="text1"/>
          <w:sz w:val="26"/>
          <w:szCs w:val="26"/>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ind w:firstLine="420" w:firstLineChars="200"/>
              <w:rPr>
                <w:rFonts w:ascii="宋体" w:hAnsi="宋体" w:cs="宋体"/>
                <w:szCs w:val="21"/>
              </w:rPr>
            </w:pPr>
            <w:r>
              <w:rPr>
                <w:rFonts w:hint="eastAsia" w:ascii="宋体" w:hAnsi="宋体" w:cs="宋体"/>
                <w:szCs w:val="21"/>
              </w:rPr>
              <w:t xml:space="preserve">该公司建立并实施的质量管理体系基本符合标准要求，对可能存在的重要风险基本可以得到有效控制，服务质量稳定，没有出现过质量事故以及顾客投诉等事件，该公司初步建立了自我完善和自我改进机制，管理体系运行基本有效。现场开具的1项一般不符合在规定的期限内采取纠正措施并经审核组书面验证有效，  </w:t>
            </w:r>
          </w:p>
          <w:p>
            <w:pPr>
              <w:spacing w:line="240" w:lineRule="exact"/>
              <w:rPr>
                <w:b/>
                <w:color w:val="000000" w:themeColor="text1"/>
                <w:sz w:val="28"/>
                <w:szCs w:val="28"/>
              </w:rPr>
            </w:pPr>
            <w:r>
              <w:rPr>
                <w:rFonts w:hint="eastAsia" w:ascii="宋体" w:hAnsi="宋体" w:cs="宋体"/>
                <w:szCs w:val="21"/>
              </w:rPr>
              <w:t>同意推荐该公司质量管理体系认证注册。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261" w:leftChars="-405" w:hanging="589" w:hangingChars="326"/>
        <w:rPr>
          <w:b/>
          <w:color w:val="000000" w:themeColor="text1"/>
          <w:sz w:val="16"/>
          <w:szCs w:val="16"/>
        </w:rPr>
      </w:pPr>
      <w:r>
        <w:rPr>
          <w:rFonts w:hint="eastAsia" w:ascii="宋体" w:hAnsi="宋体"/>
          <w:b/>
          <w:sz w:val="18"/>
          <w:szCs w:val="18"/>
        </w:rPr>
        <w:drawing>
          <wp:anchor distT="0" distB="0" distL="114300" distR="114300" simplePos="0" relativeHeight="251661312" behindDoc="1" locked="0" layoutInCell="1" allowOverlap="1">
            <wp:simplePos x="0" y="0"/>
            <wp:positionH relativeFrom="column">
              <wp:posOffset>1734185</wp:posOffset>
            </wp:positionH>
            <wp:positionV relativeFrom="paragraph">
              <wp:posOffset>306070</wp:posOffset>
            </wp:positionV>
            <wp:extent cx="727075" cy="429895"/>
            <wp:effectExtent l="0" t="0" r="15875"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727075" cy="42989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ascii="宋体" w:hAnsi="宋体"/>
          <w:b/>
          <w:sz w:val="18"/>
          <w:szCs w:val="18"/>
        </w:rPr>
        <w:drawing>
          <wp:anchor distT="0" distB="0" distL="114300" distR="114300" simplePos="0" relativeHeight="251662336" behindDoc="1" locked="0" layoutInCell="1" allowOverlap="1">
            <wp:simplePos x="0" y="0"/>
            <wp:positionH relativeFrom="column">
              <wp:posOffset>728980</wp:posOffset>
            </wp:positionH>
            <wp:positionV relativeFrom="paragraph">
              <wp:posOffset>64770</wp:posOffset>
            </wp:positionV>
            <wp:extent cx="727075" cy="429895"/>
            <wp:effectExtent l="0" t="0" r="15875" b="825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727075" cy="42989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7</w:t>
      </w:r>
      <w:r>
        <w:rPr>
          <w:rFonts w:hint="eastAsia"/>
          <w:b/>
          <w:color w:val="000000" w:themeColor="text1"/>
          <w:szCs w:val="21"/>
        </w:rPr>
        <w:t>月</w:t>
      </w:r>
      <w:r>
        <w:rPr>
          <w:rFonts w:hint="eastAsia"/>
          <w:b/>
          <w:color w:val="000000" w:themeColor="text1"/>
          <w:szCs w:val="21"/>
          <w:lang w:val="en-US" w:eastAsia="zh-CN"/>
        </w:rPr>
        <w:t>8</w:t>
      </w:r>
      <w:bookmarkStart w:id="22" w:name="_GoBack"/>
      <w:bookmarkEnd w:id="22"/>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A3A4B"/>
    <w:multiLevelType w:val="singleLevel"/>
    <w:tmpl w:val="D18A3A4B"/>
    <w:lvl w:ilvl="0" w:tentative="0">
      <w:start w:val="2"/>
      <w:numFmt w:val="decimal"/>
      <w:lvlText w:val="%1."/>
      <w:lvlJc w:val="left"/>
      <w:pPr>
        <w:tabs>
          <w:tab w:val="left" w:pos="312"/>
        </w:tabs>
      </w:pPr>
    </w:lvl>
  </w:abstractNum>
  <w:abstractNum w:abstractNumId="1">
    <w:nsid w:val="2F0B262E"/>
    <w:multiLevelType w:val="singleLevel"/>
    <w:tmpl w:val="2F0B262E"/>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20874"/>
    <w:rsid w:val="05CE2C22"/>
    <w:rsid w:val="13F536B5"/>
    <w:rsid w:val="14C37AC9"/>
    <w:rsid w:val="2C9D5554"/>
    <w:rsid w:val="2F652BE7"/>
    <w:rsid w:val="30C04C79"/>
    <w:rsid w:val="36EC71B3"/>
    <w:rsid w:val="3B8546EE"/>
    <w:rsid w:val="3C0E2679"/>
    <w:rsid w:val="3D0E326D"/>
    <w:rsid w:val="3F6362EE"/>
    <w:rsid w:val="415A0285"/>
    <w:rsid w:val="478E0836"/>
    <w:rsid w:val="49942449"/>
    <w:rsid w:val="54ED6CED"/>
    <w:rsid w:val="5582379C"/>
    <w:rsid w:val="55E26EBC"/>
    <w:rsid w:val="58FF3977"/>
    <w:rsid w:val="66BE4104"/>
    <w:rsid w:val="73830A52"/>
    <w:rsid w:val="797640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誰汻誰天荒地鮱</cp:lastModifiedBy>
  <cp:lastPrinted>2019-05-13T03:19:00Z</cp:lastPrinted>
  <dcterms:modified xsi:type="dcterms:W3CDTF">2021-07-14T07:07:07Z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B9ACDBB9ABB34B398BA9564758755DA1</vt:lpwstr>
  </property>
  <property fmtid="{D5CDD505-2E9C-101B-9397-08002B2CF9AE}" pid="4" name="KSOSaveFontToCloudKey">
    <vt:lpwstr>15471944_cloud</vt:lpwstr>
  </property>
</Properties>
</file>