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管理层、综合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、生产技术部</w:t>
            </w:r>
            <w:r>
              <w:rPr>
                <w:rFonts w:hint="eastAsia"/>
                <w:sz w:val="24"/>
                <w:szCs w:val="24"/>
                <w:lang w:eastAsia="zh-CN"/>
              </w:rPr>
              <w:t>、经营部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主管领导/陪同人员：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陈海舟、毛欣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审核员：安涛              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企业名称确认</w:t>
            </w:r>
          </w:p>
          <w:p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/>
          <w:p>
            <w:r>
              <w:rPr>
                <w:rFonts w:hint="eastAsia"/>
              </w:rPr>
              <w:t>管理体系运行起始日</w:t>
            </w:r>
          </w:p>
          <w:p>
            <w:r>
              <w:rPr>
                <w:rFonts w:hint="eastAsia"/>
              </w:rPr>
              <w:t>文件、质量记录</w:t>
            </w:r>
          </w:p>
          <w:p>
            <w:r>
              <w:rPr>
                <w:rFonts w:hint="eastAsia"/>
              </w:rPr>
              <w:t>确认组织实际与管理体系文件描述的一致性</w:t>
            </w:r>
          </w:p>
          <w:p>
            <w:r>
              <w:rPr>
                <w:rFonts w:hint="eastAsia"/>
              </w:rPr>
              <w:t>组织机构（如部门设置和负责人，认证范围等</w:t>
            </w:r>
          </w:p>
          <w:p/>
          <w:p/>
          <w:p/>
          <w:p>
            <w:r>
              <w:rPr>
                <w:rFonts w:hint="eastAsia"/>
              </w:rPr>
              <w:t>顾客及相关方投诉</w:t>
            </w:r>
          </w:p>
          <w:p>
            <w:r>
              <w:rPr>
                <w:rFonts w:hint="eastAsia"/>
              </w:rPr>
              <w:t>企业质量方针、质量目标的策划和实施情况</w:t>
            </w:r>
          </w:p>
          <w:p>
            <w:r>
              <w:rPr>
                <w:rFonts w:hint="eastAsia"/>
              </w:rPr>
              <w:t>内审、管理评审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风险控制措施策划的情况；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生产和服务基本控制、运行策划控制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kern w:val="0"/>
                <w:szCs w:val="24"/>
                <w:lang w:val="zh-CN"/>
              </w:rPr>
            </w:pPr>
          </w:p>
          <w:p/>
        </w:tc>
        <w:tc>
          <w:tcPr>
            <w:tcW w:w="960" w:type="dxa"/>
          </w:tcPr>
          <w:p>
            <w:r>
              <w:t>4.1</w:t>
            </w:r>
          </w:p>
          <w:p>
            <w:r>
              <w:t>4.2</w:t>
            </w:r>
          </w:p>
          <w:p>
            <w:r>
              <w:t>4.3</w:t>
            </w:r>
          </w:p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t>5.2</w:t>
            </w:r>
          </w:p>
          <w:p>
            <w:r>
              <w:t>6.2</w:t>
            </w:r>
          </w:p>
          <w:p>
            <w:r>
              <w:t>9.2</w:t>
            </w:r>
          </w:p>
          <w:p>
            <w:r>
              <w:t>9.3</w:t>
            </w:r>
          </w:p>
          <w:p/>
          <w:p/>
          <w:p>
            <w:pPr>
              <w:pStyle w:val="2"/>
            </w:pPr>
          </w:p>
          <w:p>
            <w:r>
              <w:t>7.1.2</w:t>
            </w:r>
          </w:p>
          <w:p>
            <w:r>
              <w:t>7.1.3</w:t>
            </w:r>
          </w:p>
          <w:p>
            <w:r>
              <w:t>7.1.5</w:t>
            </w:r>
          </w:p>
          <w:p>
            <w:r>
              <w:t>7.5</w:t>
            </w:r>
          </w:p>
          <w:p>
            <w:pPr>
              <w:pStyle w:val="2"/>
            </w:pPr>
            <w:r>
              <w:rPr>
                <w:rFonts w:hint="eastAsia"/>
              </w:rPr>
              <w:t>8</w:t>
            </w:r>
            <w:r>
              <w:t>.1</w:t>
            </w:r>
          </w:p>
          <w:p>
            <w:r>
              <w:t>8.5.1</w:t>
            </w:r>
          </w:p>
          <w:p>
            <w:r>
              <w:t>8.6</w:t>
            </w:r>
          </w:p>
          <w:p/>
        </w:tc>
        <w:tc>
          <w:tcPr>
            <w:tcW w:w="10004" w:type="dxa"/>
          </w:tcPr>
          <w:p>
            <w:pPr>
              <w:ind w:firstLine="420" w:firstLineChars="200"/>
            </w:pPr>
            <w:r>
              <w:rPr>
                <w:rFonts w:hint="eastAsia"/>
                <w:szCs w:val="22"/>
              </w:rPr>
              <w:t>受审核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陇西县水泥制品厂</w:t>
            </w:r>
            <w:r>
              <w:rPr>
                <w:rFonts w:hint="eastAsia"/>
                <w:szCs w:val="22"/>
              </w:rPr>
              <w:t>成立于20</w:t>
            </w:r>
            <w:r>
              <w:rPr>
                <w:rFonts w:hint="eastAsia"/>
                <w:szCs w:val="22"/>
                <w:lang w:val="en-US" w:eastAsia="zh-CN"/>
              </w:rPr>
              <w:t>00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10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26</w:t>
            </w:r>
            <w:r>
              <w:rPr>
                <w:rFonts w:hint="eastAsia"/>
                <w:szCs w:val="22"/>
              </w:rPr>
              <w:t>日，企业注册资金为</w:t>
            </w:r>
            <w:r>
              <w:rPr>
                <w:rFonts w:hint="eastAsia"/>
                <w:szCs w:val="22"/>
                <w:lang w:val="en-US" w:eastAsia="zh-CN"/>
              </w:rPr>
              <w:t>500</w:t>
            </w:r>
            <w:r>
              <w:rPr>
                <w:rFonts w:hint="eastAsia"/>
                <w:szCs w:val="22"/>
              </w:rPr>
              <w:t>万元，地处</w:t>
            </w:r>
            <w:bookmarkStart w:id="0" w:name="注册地址"/>
            <w:r>
              <w:rPr>
                <w:rFonts w:hint="eastAsia"/>
                <w:szCs w:val="22"/>
              </w:rPr>
              <w:t>甘肃省定西市陇西县云田镇北站村渭阳路口(执法局建筑垃圾填埋场)</w:t>
            </w:r>
            <w:bookmarkEnd w:id="0"/>
            <w:r>
              <w:rPr>
                <w:rFonts w:hint="eastAsia"/>
                <w:szCs w:val="22"/>
              </w:rPr>
              <w:t>，交通运输</w:t>
            </w:r>
            <w:r>
              <w:rPr>
                <w:rFonts w:hint="eastAsia"/>
              </w:rPr>
              <w:t>十分便利。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总经理：陈海舟  体系负责人：毛欣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组织人数：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45</w:t>
            </w:r>
            <w:r>
              <w:rPr>
                <w:rFonts w:hint="eastAsia" w:ascii="宋体" w:cs="宋体"/>
                <w:kern w:val="0"/>
              </w:rPr>
              <w:t>人。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不涉及多场所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提供了营业执照等资质，详见附件。</w:t>
            </w:r>
            <w:r>
              <w:rPr>
                <w:rFonts w:hint="eastAsia" w:ascii="宋体" w:cs="宋体"/>
                <w:kern w:val="0"/>
                <w:lang w:val="zh-CN"/>
              </w:rPr>
              <w:br w:type="textWrapping"/>
            </w:r>
            <w:r>
              <w:rPr>
                <w:rFonts w:hint="eastAsia" w:ascii="宋体" w:cs="宋体"/>
                <w:kern w:val="0"/>
                <w:szCs w:val="22"/>
                <w:lang w:val="zh-CN"/>
              </w:rPr>
              <w:t>经营范围涉及：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eastAsia="zh-CN"/>
              </w:rPr>
              <w:t>环形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混凝土电杆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eastAsia="zh-CN"/>
              </w:rPr>
              <w:t>、钢筋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混凝土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eastAsia="zh-CN"/>
              </w:rPr>
              <w:t>排水管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的生产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销售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Times New Roman" w:eastAsia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Cs w:val="22"/>
              </w:rPr>
              <w:t>管理手册      版本号：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>LX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SN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COP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 xml:space="preserve">01  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 xml:space="preserve"> 实施日期：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Times New Roman" w:eastAsia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程序文件      版本号：</w:t>
            </w:r>
            <w:r>
              <w:rPr>
                <w:rFonts w:hint="eastAsia" w:ascii="宋体" w:cs="宋体"/>
                <w:kern w:val="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 xml:space="preserve">      201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年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月</w:t>
            </w:r>
            <w:r>
              <w:rPr>
                <w:rFonts w:hint="eastAsia" w:ascii="宋体" w:hAnsi="Times New Roman" w:eastAsia="宋体" w:cs="宋体"/>
                <w:kern w:val="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2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程序文件:包括文件</w:t>
            </w:r>
            <w:bookmarkStart w:id="1" w:name="_Hlt492933825"/>
            <w:bookmarkStart w:id="2" w:name="_Hlt492933826"/>
            <w:r>
              <w:rPr>
                <w:rFonts w:hint="eastAsia" w:ascii="宋体" w:cs="宋体"/>
                <w:kern w:val="0"/>
                <w:szCs w:val="22"/>
                <w:lang w:val="zh-CN"/>
              </w:rPr>
              <w:t>控</w:t>
            </w:r>
            <w:bookmarkEnd w:id="1"/>
            <w:bookmarkEnd w:id="2"/>
            <w:r>
              <w:rPr>
                <w:rFonts w:hint="eastAsia" w:ascii="宋体" w:cs="宋体"/>
                <w:kern w:val="0"/>
                <w:szCs w:val="22"/>
                <w:lang w:val="zh-CN"/>
              </w:rPr>
              <w:t>制程序、基础设施和工作环境控制程序、风险和机遇应对措施控制程序等共有</w:t>
            </w:r>
            <w:r>
              <w:rPr>
                <w:rFonts w:hint="eastAsia" w:ascii="宋体" w:cs="宋体"/>
                <w:kern w:val="0"/>
                <w:szCs w:val="22"/>
              </w:rPr>
              <w:t>20</w:t>
            </w:r>
            <w:r>
              <w:rPr>
                <w:rFonts w:hint="eastAsia" w:ascii="宋体" w:cs="宋体"/>
                <w:kern w:val="0"/>
                <w:szCs w:val="22"/>
                <w:lang w:val="zh-CN"/>
              </w:rPr>
              <w:t>个；</w:t>
            </w:r>
          </w:p>
          <w:p>
            <w:pPr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编制了</w:t>
            </w:r>
            <w:r>
              <w:rPr>
                <w:rFonts w:hint="eastAsia"/>
              </w:rPr>
              <w:t>管理制度和操作规范及记录等文件；质量过程控制所需的外来文件、适用的法律法规及其他要求基本已识别获取。</w:t>
            </w:r>
          </w:p>
          <w:p>
            <w:pPr>
              <w:rPr>
                <w:rFonts w:ascii="宋体" w:cs="宋体"/>
                <w:kern w:val="0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2"/>
                <w:lang w:val="zh-CN"/>
              </w:rPr>
              <w:t>提供了《受控文件清单》。</w:t>
            </w:r>
          </w:p>
          <w:p>
            <w:pPr>
              <w:rPr>
                <w:lang w:val="zh-CN"/>
              </w:rPr>
            </w:pPr>
            <w:r>
              <w:rPr>
                <w:rFonts w:hint="eastAsia"/>
              </w:rPr>
              <w:t>认证主管部</w:t>
            </w:r>
            <w:r>
              <w:rPr>
                <w:rFonts w:hint="eastAsia" w:ascii="Times New Roman" w:hAnsi="Times New Roman" w:eastAsia="宋体" w:cs="Times New Roman"/>
              </w:rPr>
              <w:t>门：综合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</w:rPr>
              <w:t xml:space="preserve">。 </w:t>
            </w:r>
            <w:r>
              <w:rPr>
                <w:rFonts w:hint="eastAsia"/>
              </w:rPr>
              <w:t>不适用条款Q8.3，合理。  无外包。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组织机构：</w:t>
            </w:r>
            <w:r>
              <w:rPr>
                <w:rFonts w:hint="eastAsia" w:ascii="Times New Roman" w:hAnsi="Times New Roman" w:eastAsia="宋体" w:cs="Times New Roman"/>
                <w:lang w:val="zh-CN"/>
              </w:rPr>
              <w:t>设置有</w:t>
            </w:r>
            <w:r>
              <w:rPr>
                <w:rFonts w:hint="eastAsia" w:ascii="Times New Roman" w:hAnsi="Times New Roman" w:eastAsia="宋体" w:cs="Times New Roman"/>
              </w:rPr>
              <w:t>管理层、综合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</w:rPr>
              <w:t>、生产技术部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、经营部</w:t>
            </w:r>
            <w:r>
              <w:rPr>
                <w:rFonts w:hint="eastAsia" w:ascii="Times New Roman" w:hAnsi="Times New Roman" w:eastAsia="宋体" w:cs="Times New Roman"/>
                <w:lang w:val="zh-CN"/>
              </w:rPr>
              <w:t>。</w:t>
            </w:r>
          </w:p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组织管理体系文件中的组织机构设置和职责的规定与组织情况</w:t>
            </w:r>
            <w:r>
              <w:rPr>
                <w:rFonts w:hint="eastAsia" w:ascii="宋体" w:hAnsi="宋体"/>
              </w:rPr>
              <w:t>一致。</w:t>
            </w:r>
            <w:r>
              <w:rPr>
                <w:rFonts w:hint="eastAsia"/>
              </w:rPr>
              <w:t>各部门职责已确定并发布、实施。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顾客及相关方投诉情况：无。</w:t>
            </w:r>
          </w:p>
          <w:p>
            <w:r>
              <w:rPr>
                <w:rFonts w:hint="eastAsia"/>
              </w:rPr>
              <w:t>公司制订了管理方针、管理目标并将其分解各部门，制定目标管理方案考核办法，</w:t>
            </w:r>
            <w:r>
              <w:rPr>
                <w:rFonts w:hint="eastAsia" w:ascii="Times New Roman" w:hAnsi="Times New Roman" w:eastAsia="宋体" w:cs="Times New Roman"/>
              </w:rPr>
              <w:t>综合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办公室</w:t>
            </w:r>
            <w:r>
              <w:rPr>
                <w:rFonts w:hint="eastAsia"/>
              </w:rPr>
              <w:t>负责考核，经总经理批准后实施，二阶段细查。</w:t>
            </w:r>
          </w:p>
          <w:p>
            <w:r>
              <w:rPr>
                <w:rFonts w:hint="eastAsia"/>
              </w:rPr>
              <w:t>本年度内审已按计划实施，内审策划审核方案中考虑了拟审核的过程和区域的状况和重要性，内审时间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-14</w:t>
            </w:r>
            <w:r>
              <w:rPr>
                <w:rFonts w:hint="eastAsia" w:ascii="Times New Roman" w:hAnsi="Times New Roman" w:eastAsia="宋体" w:cs="Times New Roman"/>
              </w:rPr>
              <w:t>日内</w:t>
            </w:r>
            <w:r>
              <w:rPr>
                <w:rFonts w:hint="eastAsia"/>
              </w:rPr>
              <w:t>审结论：体系运行基本有效。</w:t>
            </w:r>
          </w:p>
          <w:p>
            <w:r>
              <w:rPr>
                <w:rFonts w:hint="eastAsia"/>
              </w:rPr>
              <w:t>管理评</w:t>
            </w:r>
            <w:r>
              <w:rPr>
                <w:rFonts w:hint="eastAsia" w:ascii="Times New Roman" w:hAnsi="Times New Roman" w:eastAsia="宋体" w:cs="Times New Roman"/>
              </w:rPr>
              <w:t>审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日，确</w:t>
            </w:r>
            <w:r>
              <w:rPr>
                <w:rFonts w:hint="eastAsia"/>
              </w:rPr>
              <w:t>定管理体系适宜性、充分性、有效性等，二阶段细查。</w:t>
            </w:r>
          </w:p>
          <w:p>
            <w:r>
              <w:rPr>
                <w:rFonts w:hint="eastAsia"/>
              </w:rPr>
              <w:t>配备了管理体系运行所需的人力资源，有质量体系方面培训，基本满足要求，二阶段细查。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提供《风险和机遇评估分析表》，针对确定的风险和机遇明确了控制措施，同时也确定了责任部门、时间期限等。</w:t>
            </w:r>
          </w:p>
          <w:p>
            <w:r>
              <w:rPr>
                <w:rFonts w:hint="eastAsia"/>
              </w:rPr>
              <w:t>提供设备清单、维修保养计划和记录等。主要设备：</w:t>
            </w:r>
            <w:r>
              <w:rPr>
                <w:rFonts w:hint="eastAsia" w:ascii="宋体" w:hAnsi="宋体" w:cs="宋体"/>
                <w:bCs/>
                <w:szCs w:val="21"/>
              </w:rPr>
              <w:t>离心机、</w:t>
            </w:r>
            <w:r>
              <w:rPr>
                <w:rFonts w:hint="eastAsia" w:ascii="宋体" w:hAnsi="宋体"/>
                <w:szCs w:val="21"/>
              </w:rPr>
              <w:t>悬</w:t>
            </w:r>
            <w:r>
              <w:rPr>
                <w:rFonts w:hint="eastAsia" w:ascii="宋体" w:hAnsi="宋体"/>
                <w:szCs w:val="21"/>
                <w:lang w:eastAsia="zh-CN"/>
              </w:rPr>
              <w:t>辊</w:t>
            </w:r>
            <w:r>
              <w:rPr>
                <w:rFonts w:hint="eastAsia" w:ascii="宋体" w:hAnsi="宋体"/>
                <w:szCs w:val="21"/>
              </w:rPr>
              <w:t>机、</w:t>
            </w:r>
            <w:r>
              <w:rPr>
                <w:rFonts w:hint="eastAsia" w:ascii="宋体" w:hAnsi="宋体" w:cs="宋体"/>
                <w:bCs/>
                <w:szCs w:val="21"/>
              </w:rPr>
              <w:t>搅拌机、切割机、装浆机、电动葫芦门式起重机、钢模</w:t>
            </w:r>
            <w:r>
              <w:rPr>
                <w:rFonts w:hint="eastAsia"/>
              </w:rPr>
              <w:t>等。</w:t>
            </w:r>
            <w:bookmarkStart w:id="3" w:name="_GoBack"/>
            <w:bookmarkEnd w:id="3"/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特种</w:t>
            </w:r>
            <w:r>
              <w:rPr>
                <w:rFonts w:hint="eastAsia"/>
                <w:szCs w:val="22"/>
              </w:rPr>
              <w:t>设备：电动葫芦门式起重机</w:t>
            </w:r>
            <w:r>
              <w:rPr>
                <w:rFonts w:hint="eastAsia"/>
                <w:szCs w:val="22"/>
                <w:lang w:eastAsia="zh-CN"/>
              </w:rPr>
              <w:t>、锅炉</w:t>
            </w:r>
            <w:r>
              <w:rPr>
                <w:rFonts w:hint="eastAsia"/>
                <w:szCs w:val="22"/>
              </w:rPr>
              <w:t>检定</w:t>
            </w:r>
            <w:r>
              <w:rPr>
                <w:rFonts w:hint="eastAsia"/>
                <w:szCs w:val="22"/>
                <w:lang w:eastAsia="zh-CN"/>
              </w:rPr>
              <w:t>均在</w:t>
            </w:r>
            <w:r>
              <w:rPr>
                <w:rFonts w:hint="eastAsia"/>
                <w:szCs w:val="22"/>
              </w:rPr>
              <w:t>有效</w:t>
            </w:r>
            <w:r>
              <w:rPr>
                <w:rFonts w:hint="eastAsia"/>
                <w:szCs w:val="22"/>
                <w:lang w:eastAsia="zh-CN"/>
              </w:rPr>
              <w:t>期内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人员资质：电焊工</w:t>
            </w:r>
            <w:r>
              <w:rPr>
                <w:rFonts w:hint="eastAsia"/>
                <w:szCs w:val="22"/>
                <w:lang w:eastAsia="zh-CN"/>
              </w:rPr>
              <w:t>、司炉工</w:t>
            </w:r>
            <w:r>
              <w:rPr>
                <w:rFonts w:hint="eastAsia"/>
                <w:szCs w:val="22"/>
              </w:rPr>
              <w:t>持证上岗。</w:t>
            </w:r>
          </w:p>
          <w:p>
            <w:r>
              <w:rPr>
                <w:rFonts w:hint="eastAsia"/>
                <w:szCs w:val="22"/>
              </w:rPr>
              <w:t>实施过程有单位采购产品检验、</w:t>
            </w:r>
            <w:r>
              <w:rPr>
                <w:rFonts w:hint="eastAsia"/>
              </w:rPr>
              <w:t>过程检验等，二阶段细查。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监视和测量设备：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电液式万能试验机、电液式压力试验机、电热鼓风干燥箱、沸煮箱、电子台秤</w:t>
            </w:r>
            <w:r>
              <w:rPr>
                <w:rFonts w:hint="eastAsia" w:ascii="Times New Roman" w:hAnsi="Times New Roman" w:eastAsia="宋体" w:cs="Times New Roman"/>
              </w:rPr>
              <w:t>等。检定时间有效，见复印件。</w:t>
            </w:r>
          </w:p>
          <w:p>
            <w:r>
              <w:rPr>
                <w:rFonts w:hint="eastAsia"/>
              </w:rPr>
              <w:t>监视测量过程控制，产品放行二阶段详查。</w:t>
            </w:r>
          </w:p>
          <w:p>
            <w:r>
              <w:rPr>
                <w:rFonts w:hint="eastAsia"/>
              </w:rPr>
              <w:t>顾客满意调查及销售人员能力评价等。二阶段详查。</w:t>
            </w:r>
          </w:p>
          <w:p>
            <w:r>
              <w:rPr>
                <w:rFonts w:hint="eastAsia"/>
              </w:rPr>
              <w:t>二阶段关注，生产过程控制。</w:t>
            </w:r>
          </w:p>
          <w:p>
            <w:r>
              <w:rPr>
                <w:rFonts w:hint="eastAsia"/>
              </w:rPr>
              <w:t>关键过程：</w:t>
            </w:r>
            <w:r>
              <w:rPr>
                <w:rFonts w:hint="eastAsia" w:ascii="宋体" w:hAnsi="宋体"/>
                <w:color w:val="000000"/>
                <w:sz w:val="20"/>
              </w:rPr>
              <w:t>离心成型、悬滚成型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</w:rPr>
              <w:t>特殊过程：</w:t>
            </w:r>
            <w:r>
              <w:rPr>
                <w:rFonts w:hint="eastAsia" w:ascii="宋体" w:hAnsi="宋体"/>
                <w:color w:val="000000"/>
                <w:sz w:val="20"/>
              </w:rPr>
              <w:t>焊接、销售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过程环境因素识别基本充分。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法律法规识别基本满足要求。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环形混凝土电杆生产流程：</w:t>
            </w:r>
            <w:r>
              <w:rPr>
                <w:rFonts w:hint="eastAsia" w:ascii="宋体" w:hAnsi="宋体"/>
                <w:szCs w:val="21"/>
              </w:rPr>
              <w:t>配料→搅拌→装筋→浇灌→离心成型→养护→脱模→成品检验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钢筋混凝土排水管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生产流程：</w:t>
            </w:r>
            <w:r>
              <w:rPr>
                <w:rFonts w:hint="eastAsia" w:ascii="宋体" w:hAnsi="宋体"/>
                <w:szCs w:val="21"/>
              </w:rPr>
              <w:t>配料→搅拌→装筋→浇灌→悬滚成型→养护→脱模→成品检验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r>
              <w:rPr>
                <w:rFonts w:hint="eastAsia"/>
                <w:szCs w:val="22"/>
              </w:rPr>
              <w:t>销售流程：报价单→合同评审→签订合同→组织生产→检验→发货→结算→售后服务；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DE74E3"/>
    <w:rsid w:val="219A004F"/>
    <w:rsid w:val="5602315A"/>
    <w:rsid w:val="5B5E664B"/>
    <w:rsid w:val="642963DC"/>
    <w:rsid w:val="7313132E"/>
    <w:rsid w:val="7BE41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2021-07-14T06:11:22Z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2CF3555C1A5D4C368EE9CC7AAE9C3035</vt:lpwstr>
  </property>
</Properties>
</file>