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770"/>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1311"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涉及条款</w:t>
            </w:r>
          </w:p>
        </w:tc>
        <w:tc>
          <w:tcPr>
            <w:tcW w:w="1077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val="en-US" w:eastAsia="zh-CN"/>
              </w:rPr>
              <w:t>技术</w:t>
            </w:r>
            <w:r>
              <w:rPr>
                <w:rFonts w:hint="eastAsia" w:asciiTheme="minorEastAsia" w:hAnsiTheme="minorEastAsia" w:eastAsiaTheme="minorEastAsia" w:cstheme="minorEastAsia"/>
                <w:sz w:val="21"/>
                <w:szCs w:val="21"/>
              </w:rPr>
              <w:t>部      主管领导：</w:t>
            </w:r>
            <w:r>
              <w:rPr>
                <w:rFonts w:hint="eastAsia" w:asciiTheme="minorEastAsia" w:hAnsiTheme="minorEastAsia" w:eastAsiaTheme="minorEastAsia" w:cstheme="minorEastAsia"/>
                <w:sz w:val="21"/>
                <w:szCs w:val="21"/>
                <w:lang w:val="en-US" w:eastAsia="zh-CN"/>
              </w:rPr>
              <w:t>王佳春</w:t>
            </w:r>
            <w:r>
              <w:rPr>
                <w:rFonts w:hint="eastAsia" w:asciiTheme="minorEastAsia" w:hAnsiTheme="minorEastAsia" w:eastAsiaTheme="minorEastAsia" w:cstheme="minorEastAsia"/>
                <w:sz w:val="21"/>
                <w:szCs w:val="21"/>
              </w:rPr>
              <w:t xml:space="preserve">      陪同人员：</w:t>
            </w:r>
            <w:r>
              <w:rPr>
                <w:rFonts w:hint="eastAsia" w:asciiTheme="minorEastAsia" w:hAnsiTheme="minorEastAsia" w:eastAsiaTheme="minorEastAsia" w:cstheme="minorEastAsia"/>
                <w:sz w:val="21"/>
                <w:szCs w:val="21"/>
                <w:lang w:val="en-US" w:eastAsia="zh-CN"/>
              </w:rPr>
              <w:t>李永双</w:t>
            </w:r>
          </w:p>
        </w:tc>
        <w:tc>
          <w:tcPr>
            <w:tcW w:w="819"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hint="eastAsia" w:asciiTheme="minorEastAsia" w:hAnsiTheme="minorEastAsia" w:eastAsiaTheme="minorEastAsia" w:cstheme="minorEastAsia"/>
                <w:sz w:val="21"/>
                <w:szCs w:val="21"/>
              </w:rPr>
            </w:pPr>
          </w:p>
        </w:tc>
        <w:tc>
          <w:tcPr>
            <w:tcW w:w="1311" w:type="dxa"/>
            <w:vMerge w:val="continue"/>
            <w:vAlign w:val="center"/>
          </w:tcPr>
          <w:p>
            <w:pPr>
              <w:rPr>
                <w:rFonts w:hint="eastAsia" w:asciiTheme="minorEastAsia" w:hAnsiTheme="minorEastAsia" w:eastAsiaTheme="minorEastAsia" w:cstheme="minorEastAsia"/>
                <w:sz w:val="21"/>
                <w:szCs w:val="21"/>
              </w:rPr>
            </w:pPr>
          </w:p>
        </w:tc>
        <w:tc>
          <w:tcPr>
            <w:tcW w:w="10770" w:type="dxa"/>
            <w:vAlign w:val="center"/>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李俐、</w:t>
            </w:r>
            <w:r>
              <w:rPr>
                <w:rFonts w:hint="eastAsia" w:asciiTheme="minorEastAsia" w:hAnsiTheme="minorEastAsia" w:eastAsiaTheme="minorEastAsia" w:cstheme="minorEastAsia"/>
                <w:sz w:val="21"/>
                <w:szCs w:val="21"/>
              </w:rPr>
              <w:t xml:space="preserve">薛永宏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审核时间：</w:t>
            </w:r>
            <w:r>
              <w:rPr>
                <w:rFonts w:hint="eastAsia" w:ascii="宋体" w:hAnsi="宋体" w:cstheme="minorEastAsia"/>
                <w:color w:val="auto"/>
                <w:sz w:val="21"/>
                <w:szCs w:val="21"/>
              </w:rPr>
              <w:t>202</w:t>
            </w:r>
            <w:r>
              <w:rPr>
                <w:rFonts w:hint="eastAsia" w:ascii="宋体" w:hAnsi="宋体" w:cstheme="minorEastAsia"/>
                <w:color w:val="auto"/>
                <w:sz w:val="21"/>
                <w:szCs w:val="21"/>
                <w:lang w:val="en-US" w:eastAsia="zh-CN"/>
              </w:rPr>
              <w:t>1</w:t>
            </w:r>
            <w:r>
              <w:rPr>
                <w:rFonts w:hint="eastAsia" w:ascii="宋体" w:hAnsi="宋体" w:cstheme="minorEastAsia"/>
                <w:color w:val="auto"/>
                <w:sz w:val="21"/>
                <w:szCs w:val="21"/>
              </w:rPr>
              <w:t>年</w:t>
            </w:r>
            <w:r>
              <w:rPr>
                <w:rFonts w:hint="eastAsia" w:ascii="宋体" w:hAnsi="宋体" w:cstheme="minorEastAsia"/>
                <w:color w:val="auto"/>
                <w:sz w:val="21"/>
                <w:szCs w:val="21"/>
                <w:lang w:val="en-US" w:eastAsia="zh-CN"/>
              </w:rPr>
              <w:t>7</w:t>
            </w:r>
            <w:r>
              <w:rPr>
                <w:rFonts w:hint="eastAsia" w:ascii="宋体" w:hAnsi="宋体" w:cstheme="minorEastAsia"/>
                <w:color w:val="auto"/>
                <w:sz w:val="21"/>
                <w:szCs w:val="21"/>
              </w:rPr>
              <w:t>月1</w:t>
            </w:r>
            <w:r>
              <w:rPr>
                <w:rFonts w:hint="eastAsia" w:ascii="宋体" w:hAnsi="宋体" w:cstheme="minorEastAsia"/>
                <w:color w:val="auto"/>
                <w:sz w:val="21"/>
                <w:szCs w:val="21"/>
                <w:lang w:val="en-US" w:eastAsia="zh-CN"/>
              </w:rPr>
              <w:t>4</w:t>
            </w:r>
            <w:r>
              <w:rPr>
                <w:rFonts w:hint="eastAsia" w:ascii="宋体" w:hAnsi="宋体" w:cstheme="minorEastAsia"/>
                <w:color w:val="auto"/>
                <w:sz w:val="21"/>
                <w:szCs w:val="21"/>
              </w:rPr>
              <w:t>日</w:t>
            </w:r>
          </w:p>
        </w:tc>
        <w:tc>
          <w:tcPr>
            <w:tcW w:w="81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hint="eastAsia" w:asciiTheme="minorEastAsia" w:hAnsiTheme="minorEastAsia" w:eastAsiaTheme="minorEastAsia" w:cstheme="minorEastAsia"/>
                <w:sz w:val="21"/>
                <w:szCs w:val="21"/>
              </w:rPr>
            </w:pPr>
          </w:p>
        </w:tc>
        <w:tc>
          <w:tcPr>
            <w:tcW w:w="1311" w:type="dxa"/>
            <w:vMerge w:val="continue"/>
            <w:vAlign w:val="center"/>
          </w:tcPr>
          <w:p>
            <w:pPr>
              <w:rPr>
                <w:rFonts w:hint="eastAsia" w:asciiTheme="minorEastAsia" w:hAnsiTheme="minorEastAsia" w:eastAsiaTheme="minorEastAsia" w:cstheme="minorEastAsia"/>
                <w:sz w:val="21"/>
                <w:szCs w:val="21"/>
              </w:rPr>
            </w:pPr>
          </w:p>
        </w:tc>
        <w:tc>
          <w:tcPr>
            <w:tcW w:w="10770" w:type="dxa"/>
            <w:vAlign w:val="center"/>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审核</w:t>
            </w:r>
            <w:r>
              <w:rPr>
                <w:rFonts w:hint="eastAsia" w:asciiTheme="minorEastAsia" w:hAnsiTheme="minorEastAsia" w:eastAsiaTheme="minorEastAsia" w:cstheme="minorEastAsia"/>
                <w:bCs/>
                <w:sz w:val="21"/>
                <w:szCs w:val="21"/>
              </w:rPr>
              <w:t>条款：</w:t>
            </w:r>
            <w:bookmarkStart w:id="0" w:name="_GoBack"/>
            <w:bookmarkEnd w:id="0"/>
          </w:p>
          <w:p>
            <w:pPr>
              <w:spacing w:line="260" w:lineRule="exact"/>
              <w:jc w:val="both"/>
              <w:rPr>
                <w:rFonts w:ascii="宋体" w:hAnsi="宋体" w:cstheme="minorEastAsia"/>
                <w:color w:val="auto"/>
                <w:sz w:val="21"/>
                <w:szCs w:val="21"/>
              </w:rPr>
            </w:pPr>
            <w:r>
              <w:rPr>
                <w:rFonts w:hint="eastAsia" w:ascii="宋体" w:hAnsi="宋体" w:cstheme="minorEastAsia"/>
                <w:color w:val="auto"/>
                <w:sz w:val="21"/>
                <w:szCs w:val="21"/>
              </w:rPr>
              <w:t>Q5.3/6.2/8.1/8.3；</w:t>
            </w:r>
          </w:p>
          <w:p>
            <w:pPr>
              <w:rPr>
                <w:rFonts w:hint="eastAsia" w:asciiTheme="minorEastAsia" w:hAnsiTheme="minorEastAsia" w:eastAsiaTheme="minorEastAsia" w:cstheme="minorEastAsia"/>
                <w:bCs/>
                <w:sz w:val="21"/>
                <w:szCs w:val="21"/>
              </w:rPr>
            </w:pPr>
            <w:r>
              <w:rPr>
                <w:rFonts w:hint="eastAsia" w:ascii="宋体" w:hAnsi="宋体" w:cstheme="minorEastAsia"/>
                <w:color w:val="auto"/>
                <w:sz w:val="21"/>
                <w:szCs w:val="21"/>
              </w:rPr>
              <w:t>O:5.3/6.2/6.1.2/8.1/8.2；</w:t>
            </w:r>
          </w:p>
        </w:tc>
        <w:tc>
          <w:tcPr>
            <w:tcW w:w="81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809"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职责权限</w:t>
            </w:r>
          </w:p>
        </w:tc>
        <w:tc>
          <w:tcPr>
            <w:tcW w:w="1311" w:type="dxa"/>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Q5.3</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S5.3</w:t>
            </w:r>
          </w:p>
        </w:tc>
        <w:tc>
          <w:tcPr>
            <w:tcW w:w="10770" w:type="dxa"/>
          </w:tcPr>
          <w:p>
            <w:pPr>
              <w:tabs>
                <w:tab w:val="left" w:pos="900"/>
              </w:tabs>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询问</w:t>
            </w:r>
            <w:r>
              <w:rPr>
                <w:rFonts w:hint="eastAsia" w:asciiTheme="minorEastAsia" w:hAnsiTheme="minorEastAsia" w:eastAsiaTheme="minorEastAsia" w:cstheme="minorEastAsia"/>
                <w:sz w:val="21"/>
                <w:szCs w:val="21"/>
                <w:lang w:val="en-US" w:eastAsia="zh-CN"/>
              </w:rPr>
              <w:t>技术</w:t>
            </w:r>
            <w:r>
              <w:rPr>
                <w:rFonts w:hint="eastAsia" w:asciiTheme="minorEastAsia" w:hAnsiTheme="minorEastAsia" w:eastAsiaTheme="minorEastAsia" w:cstheme="minorEastAsia"/>
                <w:sz w:val="21"/>
                <w:szCs w:val="21"/>
              </w:rPr>
              <w:t>部负责人</w:t>
            </w:r>
            <w:r>
              <w:rPr>
                <w:rFonts w:hint="eastAsia" w:asciiTheme="minorEastAsia" w:hAnsiTheme="minorEastAsia" w:eastAsiaTheme="minorEastAsia" w:cstheme="minorEastAsia"/>
                <w:sz w:val="21"/>
                <w:szCs w:val="21"/>
                <w:lang w:val="en-US" w:eastAsia="zh-CN"/>
              </w:rPr>
              <w:t>王佳春</w:t>
            </w:r>
            <w:r>
              <w:rPr>
                <w:rFonts w:hint="eastAsia" w:asciiTheme="minorEastAsia" w:hAnsiTheme="minorEastAsia" w:eastAsiaTheme="minorEastAsia" w:cstheme="minorEastAsia"/>
                <w:sz w:val="21"/>
                <w:szCs w:val="21"/>
              </w:rPr>
              <w:t>，能明确本部门的职责：1)负责本公司的技术改造和改进的工艺；</w:t>
            </w:r>
          </w:p>
          <w:p>
            <w:pPr>
              <w:tabs>
                <w:tab w:val="left" w:pos="900"/>
              </w:tabs>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2)负责经营技术工艺的制定和培训；</w:t>
            </w:r>
          </w:p>
          <w:p>
            <w:pPr>
              <w:tabs>
                <w:tab w:val="left" w:pos="900"/>
              </w:tabs>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3)负责数据分析，统计技术的应用和管理；</w:t>
            </w:r>
          </w:p>
          <w:p>
            <w:pPr>
              <w:tabs>
                <w:tab w:val="left" w:pos="900"/>
              </w:tabs>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4)负责针对产品质量问题，组织制定相应的纠正措施和改进措施，并进行跟踪验证活动；</w:t>
            </w:r>
          </w:p>
          <w:p>
            <w:pPr>
              <w:tabs>
                <w:tab w:val="left" w:pos="900"/>
              </w:tabs>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5)优先选用安全环保材料；</w:t>
            </w:r>
          </w:p>
          <w:p>
            <w:pPr>
              <w:tabs>
                <w:tab w:val="left" w:pos="900"/>
              </w:tabs>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6)负责识别/辨识新产品和改造中的环境因素/危险源，并提出相应的控制措施。</w:t>
            </w:r>
          </w:p>
          <w:p>
            <w:pPr>
              <w:tabs>
                <w:tab w:val="left" w:pos="720"/>
              </w:tabs>
              <w:spacing w:line="400" w:lineRule="exact"/>
              <w:ind w:left="5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7)负责明确产品可追溯性要求，当产品出现质量问题时，组织对其进行追溯；</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技术</w:t>
            </w:r>
            <w:r>
              <w:rPr>
                <w:rFonts w:hint="eastAsia" w:asciiTheme="minorEastAsia" w:hAnsiTheme="minorEastAsia" w:eastAsiaTheme="minorEastAsia" w:cstheme="minorEastAsia"/>
                <w:sz w:val="21"/>
                <w:szCs w:val="21"/>
              </w:rPr>
              <w:t>部上述作用和职责、权限基本得到有效沟通和实施。</w:t>
            </w:r>
          </w:p>
        </w:tc>
        <w:tc>
          <w:tcPr>
            <w:tcW w:w="819"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目标 </w:t>
            </w:r>
          </w:p>
        </w:tc>
        <w:tc>
          <w:tcPr>
            <w:tcW w:w="1311"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Q6.2</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S6.2</w:t>
            </w:r>
          </w:p>
          <w:p>
            <w:pPr>
              <w:rPr>
                <w:rFonts w:hint="eastAsia" w:asciiTheme="minorEastAsia" w:hAnsiTheme="minorEastAsia" w:eastAsiaTheme="minorEastAsia" w:cstheme="minorEastAsia"/>
                <w:sz w:val="21"/>
                <w:szCs w:val="21"/>
              </w:rPr>
            </w:pPr>
          </w:p>
        </w:tc>
        <w:tc>
          <w:tcPr>
            <w:tcW w:w="10770"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部门目标：</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drawing>
                <wp:inline distT="0" distB="0" distL="114300" distR="114300">
                  <wp:extent cx="3803650" cy="2400300"/>
                  <wp:effectExtent l="0" t="0" r="63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3803650" cy="2400300"/>
                          </a:xfrm>
                          <a:prstGeom prst="rect">
                            <a:avLst/>
                          </a:prstGeom>
                          <a:noFill/>
                          <a:ln>
                            <a:noFill/>
                          </a:ln>
                        </pic:spPr>
                      </pic:pic>
                    </a:graphicData>
                  </a:graphic>
                </wp:inline>
              </w:drawing>
            </w:r>
            <w:r>
              <w:rPr>
                <w:rFonts w:hint="eastAsia" w:asciiTheme="minorEastAsia" w:hAnsiTheme="minorEastAsia" w:eastAsiaTheme="minorEastAsia" w:cstheme="minorEastAsia"/>
                <w:sz w:val="21"/>
                <w:szCs w:val="21"/>
              </w:rPr>
              <w:t xml:space="preserve">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考核情况，经</w:t>
            </w:r>
            <w:r>
              <w:rPr>
                <w:rFonts w:hint="eastAsia" w:asciiTheme="minorEastAsia" w:hAnsiTheme="minorEastAsia" w:eastAsiaTheme="minorEastAsia" w:cstheme="minorEastAsia"/>
                <w:sz w:val="21"/>
                <w:szCs w:val="21"/>
                <w:lang w:val="en-US" w:eastAsia="zh-CN"/>
              </w:rPr>
              <w:t>2021.7.5考核已经完成</w:t>
            </w:r>
            <w:r>
              <w:rPr>
                <w:rFonts w:hint="eastAsia" w:asciiTheme="minorEastAsia" w:hAnsiTheme="minorEastAsia" w:eastAsiaTheme="minorEastAsia" w:cstheme="minorEastAsia"/>
                <w:sz w:val="21"/>
                <w:szCs w:val="21"/>
              </w:rPr>
              <w:t>。</w:t>
            </w:r>
          </w:p>
          <w:p>
            <w:pPr>
              <w:spacing w:line="360" w:lineRule="auto"/>
              <w:rPr>
                <w:rFonts w:hint="eastAsia" w:asciiTheme="minorEastAsia" w:hAnsiTheme="minorEastAsia" w:eastAsiaTheme="minorEastAsia" w:cstheme="minorEastAsia"/>
                <w:sz w:val="21"/>
                <w:szCs w:val="21"/>
              </w:rPr>
            </w:pPr>
          </w:p>
        </w:tc>
        <w:tc>
          <w:tcPr>
            <w:tcW w:w="81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环境因素</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危险源</w:t>
            </w:r>
          </w:p>
        </w:tc>
        <w:tc>
          <w:tcPr>
            <w:tcW w:w="1311" w:type="dxa"/>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S6.1.2</w:t>
            </w:r>
          </w:p>
        </w:tc>
        <w:tc>
          <w:tcPr>
            <w:tcW w:w="10770" w:type="dxa"/>
          </w:tcPr>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提供了《环境因素和危险源识别评价与控制程序》，对环境因素、危险源的识别、评价结果、控制手段等做出了规定。</w:t>
            </w:r>
          </w:p>
          <w:p>
            <w:pPr>
              <w:snapToGrid w:val="0"/>
              <w:spacing w:line="360" w:lineRule="auto"/>
              <w:ind w:right="392"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部门负责人</w:t>
            </w:r>
            <w:r>
              <w:rPr>
                <w:rFonts w:hint="eastAsia" w:asciiTheme="minorEastAsia" w:hAnsiTheme="minorEastAsia" w:eastAsiaTheme="minorEastAsia" w:cstheme="minorEastAsia"/>
                <w:sz w:val="21"/>
                <w:szCs w:val="21"/>
              </w:rPr>
              <w:t>介绍了对环境因素、危险源进行了辨识，考虑了三种时态，过去、现在和将来，三种状态，正常、异常和紧急，按照办公区域及工作过程，另外按照区域及工作过程等进行了辨识。</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提供《职业安全健康管理体系危害辨识、风险评价、风险控制工作表》对部门开发、系统集成、办公活动各过程分别进行辨识，考虑了电脑辐射、触电、意外伤害、火灾等方面；</w:t>
            </w:r>
            <w:r>
              <w:rPr>
                <w:rFonts w:hint="eastAsia" w:asciiTheme="minorEastAsia" w:hAnsiTheme="minorEastAsia" w:eastAsiaTheme="minorEastAsia" w:cstheme="minorEastAsia"/>
                <w:sz w:val="21"/>
                <w:szCs w:val="21"/>
                <w:lang w:val="en-US" w:eastAsia="zh-CN"/>
              </w:rPr>
              <w:t>技术</w:t>
            </w:r>
            <w:r>
              <w:rPr>
                <w:rFonts w:hint="eastAsia" w:asciiTheme="minorEastAsia" w:hAnsiTheme="minorEastAsia" w:eastAsiaTheme="minorEastAsia" w:cstheme="minorEastAsia"/>
                <w:sz w:val="21"/>
                <w:szCs w:val="21"/>
              </w:rPr>
              <w:t>部识别的各区域危险源有：电脑辐射、触电、意外伤害、火灾等。</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不可接受风险识别有：火灾、触电</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意外伤害</w:t>
            </w:r>
            <w:r>
              <w:rPr>
                <w:rFonts w:hint="eastAsia" w:asciiTheme="minorEastAsia" w:hAnsiTheme="minorEastAsia" w:eastAsiaTheme="minorEastAsia" w:cstheme="minorEastAsia"/>
                <w:sz w:val="21"/>
                <w:szCs w:val="21"/>
              </w:rPr>
              <w:t>等</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危险源识别经核实基本齐全，重大危险源评价基本合理。</w:t>
            </w:r>
          </w:p>
        </w:tc>
        <w:tc>
          <w:tcPr>
            <w:tcW w:w="81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809" w:type="dxa"/>
          </w:tcPr>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运行的策划和控制</w:t>
            </w:r>
          </w:p>
          <w:p>
            <w:pPr>
              <w:spacing w:line="360" w:lineRule="auto"/>
              <w:rPr>
                <w:rFonts w:hint="eastAsia" w:asciiTheme="minorEastAsia" w:hAnsiTheme="minorEastAsia" w:eastAsiaTheme="minorEastAsia" w:cstheme="minorEastAsia"/>
                <w:bCs/>
                <w:sz w:val="21"/>
                <w:szCs w:val="21"/>
              </w:rPr>
            </w:pPr>
          </w:p>
        </w:tc>
        <w:tc>
          <w:tcPr>
            <w:tcW w:w="1311" w:type="dxa"/>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Q8.1</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S8.1</w:t>
            </w:r>
          </w:p>
        </w:tc>
        <w:tc>
          <w:tcPr>
            <w:tcW w:w="10770" w:type="dxa"/>
          </w:tcPr>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质量管理体系方面：</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产品实现的策划主要由</w:t>
            </w:r>
            <w:r>
              <w:rPr>
                <w:rFonts w:hint="eastAsia" w:asciiTheme="minorEastAsia" w:hAnsiTheme="minorEastAsia" w:eastAsiaTheme="minorEastAsia" w:cstheme="minorEastAsia"/>
                <w:sz w:val="21"/>
                <w:szCs w:val="21"/>
                <w:lang w:val="en-US" w:eastAsia="zh-CN"/>
              </w:rPr>
              <w:t>技术</w:t>
            </w:r>
            <w:r>
              <w:rPr>
                <w:rFonts w:hint="eastAsia" w:asciiTheme="minorEastAsia" w:hAnsiTheme="minorEastAsia" w:eastAsiaTheme="minorEastAsia" w:cstheme="minorEastAsia"/>
                <w:sz w:val="21"/>
                <w:szCs w:val="21"/>
              </w:rPr>
              <w:t>负责人完成，过程策划包含了实现产品所需达到的质量目标和要求，公司主要依据客户技术要求、</w:t>
            </w:r>
            <w:r>
              <w:rPr>
                <w:rFonts w:hint="eastAsia" w:asciiTheme="minorEastAsia" w:hAnsiTheme="minorEastAsia" w:eastAsiaTheme="minorEastAsia" w:cstheme="minorEastAsia"/>
                <w:b w:val="0"/>
                <w:bCs w:val="0"/>
                <w:sz w:val="21"/>
                <w:szCs w:val="21"/>
              </w:rPr>
              <w:t>智能变频电磁感应加热节能设备通用技术</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b w:val="0"/>
                <w:bCs w:val="0"/>
                <w:sz w:val="21"/>
                <w:szCs w:val="21"/>
              </w:rPr>
              <w:t>环境保护产品技术要求—反渗透水处理</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kern w:val="0"/>
                <w:sz w:val="21"/>
                <w:szCs w:val="21"/>
              </w:rPr>
              <w:t>质量特性及其使用指南</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b w:val="0"/>
                <w:bCs w:val="0"/>
                <w:sz w:val="21"/>
                <w:szCs w:val="21"/>
              </w:rPr>
              <w:t>工业机器人 性能规范及试验</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b w:val="0"/>
                <w:bCs w:val="0"/>
                <w:sz w:val="21"/>
                <w:szCs w:val="21"/>
              </w:rPr>
              <w:t>工业机器人  安全实施规范</w:t>
            </w:r>
            <w:r>
              <w:rPr>
                <w:rFonts w:hint="eastAsia" w:asciiTheme="minorEastAsia" w:hAnsiTheme="minorEastAsia" w:eastAsiaTheme="minorEastAsia" w:cstheme="minorEastAsia"/>
                <w:kern w:val="0"/>
                <w:sz w:val="21"/>
                <w:szCs w:val="21"/>
                <w:lang w:val="en-US" w:eastAsia="zh-CN"/>
              </w:rPr>
              <w:t>等</w:t>
            </w:r>
            <w:r>
              <w:rPr>
                <w:rFonts w:hint="eastAsia" w:asciiTheme="minorEastAsia" w:hAnsiTheme="minorEastAsia" w:eastAsiaTheme="minorEastAsia" w:cstheme="minorEastAsia"/>
                <w:sz w:val="21"/>
                <w:szCs w:val="21"/>
              </w:rPr>
              <w:t>，编制了相应的过程文件：</w:t>
            </w:r>
          </w:p>
          <w:p>
            <w:pPr>
              <w:spacing w:line="360" w:lineRule="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bCs/>
                <w:color w:val="000000"/>
                <w:spacing w:val="12"/>
                <w:sz w:val="21"/>
                <w:szCs w:val="21"/>
                <w:lang w:val="en-US" w:eastAsia="zh-CN"/>
              </w:rPr>
              <w:t xml:space="preserve"> </w:t>
            </w:r>
            <w:r>
              <w:rPr>
                <w:rFonts w:hint="eastAsia" w:asciiTheme="minorEastAsia" w:hAnsiTheme="minorEastAsia" w:eastAsiaTheme="minorEastAsia" w:cstheme="minorEastAsia"/>
                <w:b w:val="0"/>
                <w:bCs/>
                <w:color w:val="auto"/>
                <w:sz w:val="21"/>
                <w:szCs w:val="21"/>
                <w:lang w:val="en-US" w:eastAsia="zh-CN"/>
              </w:rPr>
              <w:t>设计开发流程：经营部反馈信息---立项申请---编制设计开发任务书---设计开发输入评审---编制设计开发方案---设计开发输入评审---编制设计计算书---设计图纸---采购清单---设计计算书评审---设计开发输出评审---设计开发确认</w:t>
            </w:r>
          </w:p>
          <w:p>
            <w:pPr>
              <w:widowControl/>
              <w:numPr>
                <w:ilvl w:val="0"/>
                <w:numId w:val="1"/>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针对产品的设计过程制定了作业指导书；</w:t>
            </w:r>
          </w:p>
          <w:p>
            <w:pPr>
              <w:widowControl/>
              <w:numPr>
                <w:ilvl w:val="0"/>
                <w:numId w:val="1"/>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规定了产品的检验验收准则；</w:t>
            </w:r>
          </w:p>
          <w:p>
            <w:pPr>
              <w:widowControl/>
              <w:numPr>
                <w:ilvl w:val="0"/>
                <w:numId w:val="1"/>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对产品设计开发过程设置了设计开发立项书、评审报告、测试报告、联调联试报告、客户试用报告、产品鉴定确认报告等记录；</w:t>
            </w:r>
          </w:p>
          <w:p>
            <w:pPr>
              <w:widowControl/>
              <w:numPr>
                <w:ilvl w:val="0"/>
                <w:numId w:val="1"/>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资源的提供（包括人力、物力、办公设备设施、通讯工具、设计开发工具等）。</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策划的输出适合于组织的运行。</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对于非预期变更，及时进行潜在后果评审，并告知相关人员，目前未发生。</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经识别企业无外包过程，今后如有发生按照标准Q8.4条款的要求进行管理控制。</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环境和职业健康安全管理体系方面：</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编制与环境、安全体系运行控制有关的文件有《管理运行控制程序》、《节约用水管理规定》、《垃圾管理规定》、《消防控制程序》《电工操作规程》、《应急预案》等。</w:t>
            </w:r>
          </w:p>
          <w:p>
            <w:pPr>
              <w:widowControl/>
              <w:numPr>
                <w:ilvl w:val="0"/>
                <w:numId w:val="2"/>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废水管控：</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智能化工业机器人、钻井泥浆无害化处理设备、电磁加热设备和电磁加热三项分离装置、固体废弃物处理设备设计过程不产生废水，生活废水排入</w:t>
            </w:r>
            <w:r>
              <w:rPr>
                <w:rFonts w:hint="eastAsia" w:asciiTheme="minorEastAsia" w:hAnsiTheme="minorEastAsia" w:eastAsiaTheme="minorEastAsia" w:cstheme="minorEastAsia"/>
                <w:sz w:val="21"/>
                <w:szCs w:val="21"/>
                <w:lang w:val="en-US" w:eastAsia="zh-CN"/>
              </w:rPr>
              <w:t>城市</w:t>
            </w:r>
            <w:r>
              <w:rPr>
                <w:rFonts w:hint="eastAsia" w:asciiTheme="minorEastAsia" w:hAnsiTheme="minorEastAsia" w:eastAsiaTheme="minorEastAsia" w:cstheme="minorEastAsia"/>
                <w:sz w:val="21"/>
                <w:szCs w:val="21"/>
              </w:rPr>
              <w:t>管网集中处理。</w:t>
            </w:r>
          </w:p>
          <w:p>
            <w:pPr>
              <w:widowControl/>
              <w:numPr>
                <w:ilvl w:val="0"/>
                <w:numId w:val="2"/>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废气管控：</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p>
            <w:pPr>
              <w:widowControl/>
              <w:numPr>
                <w:ilvl w:val="0"/>
                <w:numId w:val="2"/>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噪声管控：</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办公过程和安装调试过程基本无噪声。</w:t>
            </w:r>
          </w:p>
          <w:p>
            <w:pPr>
              <w:widowControl/>
              <w:numPr>
                <w:ilvl w:val="0"/>
                <w:numId w:val="2"/>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固废管控：</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主要是办公固废的排放和安装调试时的电线、网线边角料及包装物的排放。</w:t>
            </w:r>
            <w:r>
              <w:rPr>
                <w:rFonts w:hint="eastAsia" w:asciiTheme="minorEastAsia" w:hAnsiTheme="minorEastAsia" w:eastAsiaTheme="minorEastAsia" w:cstheme="minorEastAsia"/>
                <w:sz w:val="21"/>
                <w:szCs w:val="21"/>
                <w:lang w:val="en-US" w:eastAsia="zh-CN"/>
              </w:rPr>
              <w:t>技术</w:t>
            </w:r>
            <w:r>
              <w:rPr>
                <w:rFonts w:hint="eastAsia" w:asciiTheme="minorEastAsia" w:hAnsiTheme="minorEastAsia" w:eastAsiaTheme="minorEastAsia" w:cstheme="minorEastAsia"/>
                <w:sz w:val="21"/>
                <w:szCs w:val="21"/>
              </w:rPr>
              <w:t>部将墨盒硒鼓等办公危废交行政部统一处理一般是交供应商回收，其他固废及生活垃圾放在门口垃圾桶由办公大楼物业部门统一处理。</w:t>
            </w:r>
          </w:p>
          <w:p>
            <w:pPr>
              <w:widowControl/>
              <w:numPr>
                <w:ilvl w:val="0"/>
                <w:numId w:val="2"/>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能源资源管控：</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开发和办公过程注意节水、节电，人走关闭设备和照明开关，现场未发现有漏水和浪费电能的现象。</w:t>
            </w:r>
          </w:p>
          <w:p>
            <w:pPr>
              <w:widowControl/>
              <w:numPr>
                <w:ilvl w:val="0"/>
                <w:numId w:val="2"/>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产品生命周期的环境管控：</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公司从工艺设计时考虑了产品的环保性，研发过程中，严格按照环保等管理制度实施，控制好材料的用量，避免浪费，尽量考虑生命周期终了时还可以回收再利用。</w:t>
            </w:r>
          </w:p>
          <w:p>
            <w:pPr>
              <w:widowControl/>
              <w:numPr>
                <w:ilvl w:val="0"/>
                <w:numId w:val="2"/>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潜在火灾管控：</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公司配备了消防设施。</w:t>
            </w:r>
          </w:p>
          <w:p>
            <w:pPr>
              <w:widowControl/>
              <w:numPr>
                <w:ilvl w:val="0"/>
                <w:numId w:val="2"/>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安全防护：</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主要是防止触电，研发和办公时注意防护，加强日常检查和培训教育。</w:t>
            </w:r>
          </w:p>
          <w:p>
            <w:pPr>
              <w:widowControl/>
              <w:numPr>
                <w:ilvl w:val="0"/>
                <w:numId w:val="2"/>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能提供防止员工意外伤害加重的急救药品如创可贴、杀菌药水等。</w:t>
            </w:r>
          </w:p>
          <w:p>
            <w:pPr>
              <w:widowControl/>
              <w:numPr>
                <w:ilvl w:val="0"/>
                <w:numId w:val="2"/>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为主要长期员工上社保，查见交款证明。</w:t>
            </w:r>
          </w:p>
          <w:p>
            <w:pPr>
              <w:widowControl/>
              <w:numPr>
                <w:ilvl w:val="0"/>
                <w:numId w:val="2"/>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按有关程序和要求通报供方和顾客，采用〈告知函〉方式通报。查到相关方告知书。</w:t>
            </w:r>
          </w:p>
          <w:p>
            <w:pPr>
              <w:widowControl/>
              <w:numPr>
                <w:ilvl w:val="0"/>
                <w:numId w:val="2"/>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员工饮用水为纯净水通过饮水机饮用。</w:t>
            </w:r>
          </w:p>
          <w:p>
            <w:pPr>
              <w:widowControl/>
              <w:numPr>
                <w:ilvl w:val="0"/>
                <w:numId w:val="2"/>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现场运行控制：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从事的主要是钻井泥浆无害化处理设备、水处理（清水、软化水、污水、含油污水）设备、全自动软化水装置、稀油站、滤油机、油田专用设备、过滤器、电磁加热设备和电磁加热三项分离装置、太阳能用具的设计设计开发。</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现场查看各研发技术人员坐姿正确避免过度疲劳。</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电脑显示器调整到保护视力的颜色。</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研发、调试和办公区内现场电线布线合理，电线均处于完好状态，有接地及保护装置，漏电保护器状态良好。</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现场有分类存放的垃圾桶。</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现场配备有灭火器、消防栓，均有效。</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现场在环保和职业健康安全防护方面的控制管理基本有效。</w:t>
            </w:r>
          </w:p>
        </w:tc>
        <w:tc>
          <w:tcPr>
            <w:tcW w:w="81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3" w:hRule="atLeast"/>
        </w:trPr>
        <w:tc>
          <w:tcPr>
            <w:tcW w:w="1809" w:type="dxa"/>
          </w:tcPr>
          <w:p>
            <w:pPr>
              <w:spacing w:line="360" w:lineRule="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应急准备和响应</w:t>
            </w:r>
          </w:p>
        </w:tc>
        <w:tc>
          <w:tcPr>
            <w:tcW w:w="1311" w:type="dxa"/>
          </w:tcPr>
          <w:p>
            <w:pPr>
              <w:spacing w:line="360" w:lineRule="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S8.2</w:t>
            </w:r>
          </w:p>
        </w:tc>
        <w:tc>
          <w:tcPr>
            <w:tcW w:w="10770" w:type="dxa"/>
          </w:tcPr>
          <w:p>
            <w:pPr>
              <w:spacing w:line="360" w:lineRule="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编制了《应急准备和响应控制程序》，确定的紧急情况有：火灾、触电、人等。</w:t>
            </w:r>
            <w:r>
              <w:rPr>
                <w:rFonts w:hint="eastAsia" w:asciiTheme="minorEastAsia" w:hAnsiTheme="minorEastAsia" w:eastAsiaTheme="minorEastAsia" w:cstheme="minorEastAsia"/>
                <w:spacing w:val="-10"/>
                <w:sz w:val="21"/>
                <w:szCs w:val="21"/>
                <w:lang w:val="en-US" w:eastAsia="zh-CN"/>
              </w:rPr>
              <w:t>技术</w:t>
            </w:r>
            <w:r>
              <w:rPr>
                <w:rFonts w:hint="eastAsia" w:asciiTheme="minorEastAsia" w:hAnsiTheme="minorEastAsia" w:eastAsiaTheme="minorEastAsia" w:cstheme="minorEastAsia"/>
                <w:spacing w:val="-10"/>
                <w:sz w:val="21"/>
                <w:szCs w:val="21"/>
              </w:rPr>
              <w:t>部的人员参与了公司的应急演练，明确了应急处理流程及方案。</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应急设施配置：办公场所配备了灭火器、消防栓等消防设施，均在有效期内，状态良好。</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查20</w:t>
            </w:r>
            <w:r>
              <w:rPr>
                <w:rFonts w:hint="eastAsia" w:asciiTheme="minorEastAsia" w:hAnsiTheme="minorEastAsia" w:eastAsiaTheme="minorEastAsia" w:cstheme="minorEastAsia"/>
                <w:sz w:val="21"/>
                <w:szCs w:val="21"/>
                <w:lang w:val="en-US" w:eastAsia="zh-CN"/>
              </w:rPr>
              <w:t>21.6.20</w:t>
            </w:r>
            <w:r>
              <w:rPr>
                <w:rFonts w:hint="eastAsia" w:asciiTheme="minorEastAsia" w:hAnsiTheme="minorEastAsia" w:eastAsiaTheme="minorEastAsia" w:cstheme="minorEastAsia"/>
                <w:sz w:val="21"/>
                <w:szCs w:val="21"/>
              </w:rPr>
              <w:t>日的《</w:t>
            </w:r>
            <w:r>
              <w:rPr>
                <w:rFonts w:hint="eastAsia" w:asciiTheme="minorEastAsia" w:hAnsiTheme="minorEastAsia" w:eastAsiaTheme="minorEastAsia" w:cstheme="minorEastAsia"/>
                <w:sz w:val="21"/>
                <w:szCs w:val="21"/>
                <w:lang w:val="en-US" w:eastAsia="zh-CN"/>
              </w:rPr>
              <w:t>爆炸、火灾消防</w:t>
            </w:r>
            <w:r>
              <w:rPr>
                <w:rFonts w:hint="eastAsia" w:asciiTheme="minorEastAsia" w:hAnsiTheme="minorEastAsia" w:eastAsiaTheme="minorEastAsia" w:cstheme="minorEastAsia"/>
                <w:sz w:val="21"/>
                <w:szCs w:val="21"/>
              </w:rPr>
              <w:t>事故应急预案演练记录》，参加人员各岗位人员；记录演练过程、急救措施等内容。评价：组织指挥有序，项目岗位配合较好，达到了预定目标，演练的效果较好。人员的速度较快，及时按照预定方案对事故处理人员进行保护。</w:t>
            </w:r>
          </w:p>
          <w:p>
            <w:pPr>
              <w:spacing w:line="360" w:lineRule="auto"/>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现场巡视办公区、研发及调试区配有多个灭火器和消防栓，均有效。</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查到“消防器材台账及检查记录”，20</w:t>
            </w:r>
            <w:r>
              <w:rPr>
                <w:rFonts w:hint="eastAsia" w:asciiTheme="minorEastAsia" w:hAnsiTheme="minorEastAsia" w:eastAsiaTheme="minorEastAsia" w:cstheme="minorEastAsia"/>
                <w:bCs/>
                <w:sz w:val="21"/>
                <w:szCs w:val="21"/>
                <w:lang w:val="en-US" w:eastAsia="zh-CN"/>
              </w:rPr>
              <w:t>21</w:t>
            </w:r>
            <w:r>
              <w:rPr>
                <w:rFonts w:hint="eastAsia" w:asciiTheme="minorEastAsia" w:hAnsiTheme="minorEastAsia" w:eastAsiaTheme="minorEastAsia" w:cstheme="minorEastAsia"/>
                <w:bCs/>
                <w:sz w:val="21"/>
                <w:szCs w:val="21"/>
              </w:rPr>
              <w:t>.1</w:t>
            </w:r>
            <w:r>
              <w:rPr>
                <w:rFonts w:hint="eastAsia" w:asciiTheme="minorEastAsia" w:hAnsiTheme="minorEastAsia" w:eastAsiaTheme="minorEastAsia" w:cstheme="minorEastAsia"/>
                <w:bCs/>
                <w:sz w:val="21"/>
                <w:szCs w:val="21"/>
                <w:lang w:val="en-US" w:eastAsia="zh-CN"/>
              </w:rPr>
              <w:t>-6月兰晓敏</w:t>
            </w:r>
            <w:r>
              <w:rPr>
                <w:rFonts w:hint="eastAsia" w:asciiTheme="minorEastAsia" w:hAnsiTheme="minorEastAsia" w:eastAsiaTheme="minorEastAsia" w:cstheme="minorEastAsia"/>
                <w:bCs/>
                <w:sz w:val="21"/>
                <w:szCs w:val="21"/>
              </w:rPr>
              <w:t>对灭火器及消防箱进行了检查，结果正常。</w:t>
            </w:r>
          </w:p>
          <w:p>
            <w:pPr>
              <w:spacing w:line="360" w:lineRule="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自体系运行以来尚未发生紧急情况。</w:t>
            </w:r>
          </w:p>
        </w:tc>
        <w:tc>
          <w:tcPr>
            <w:tcW w:w="819" w:type="dxa"/>
          </w:tcPr>
          <w:p>
            <w:pPr>
              <w:spacing w:line="360" w:lineRule="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09" w:type="dxa"/>
            <w:vMerge w:val="restart"/>
            <w:vAlign w:val="center"/>
          </w:tcPr>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pacing w:val="-10"/>
                <w:sz w:val="21"/>
                <w:szCs w:val="21"/>
              </w:rPr>
              <w:t>产品和服务的设计和开发</w:t>
            </w:r>
          </w:p>
        </w:tc>
        <w:tc>
          <w:tcPr>
            <w:tcW w:w="1311" w:type="dxa"/>
          </w:tcPr>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Q8.3.1总则</w:t>
            </w:r>
          </w:p>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Q8.3.2设计和开发策划</w:t>
            </w:r>
          </w:p>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Q8.5.1设计服务过程控制</w:t>
            </w:r>
          </w:p>
          <w:p>
            <w:pPr>
              <w:spacing w:line="360" w:lineRule="auto"/>
              <w:rPr>
                <w:rFonts w:hint="eastAsia" w:asciiTheme="minorEastAsia" w:hAnsiTheme="minorEastAsia" w:eastAsiaTheme="minorEastAsia" w:cstheme="minorEastAsia"/>
                <w:sz w:val="21"/>
                <w:szCs w:val="21"/>
              </w:rPr>
            </w:pPr>
          </w:p>
        </w:tc>
        <w:tc>
          <w:tcPr>
            <w:tcW w:w="10770" w:type="dxa"/>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目前主要从事钻井泥浆无害化处理设备、水处理（清水、软化水、污水、含油污水）设备、全自动软化水装置、稀油站、滤油机、油田专用设备、过滤器、电磁加热设备和电磁加热三项分离装置、太阳能用具等产品的设计开发。</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查编制有《设计与开发控制程序》，文件对设计开发的全过程进行了规范化管理，以确保所设计开发的产品能满足顾客需求或期望和有关法律法规要求。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提供了钻井泥浆无害化处理设备、水处理（清水、软化水、污水、含油污水）设备、全自动软化水装置、稀油站、滤油机、油田专用设备、过滤器、电磁加热设备和电磁加热三项分离装置、太阳能用具等设计开发资料。</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以上资料记录了设计开发的策划、输入、输出、评审、验证和确认活动。</w:t>
            </w:r>
          </w:p>
          <w:p>
            <w:pPr>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w:t>
            </w:r>
            <w:r>
              <w:rPr>
                <w:rFonts w:hint="eastAsia" w:asciiTheme="minorEastAsia" w:hAnsiTheme="minorEastAsia" w:eastAsiaTheme="minorEastAsia" w:cstheme="minorEastAsia"/>
                <w:sz w:val="21"/>
                <w:szCs w:val="21"/>
                <w:lang w:val="en-US" w:eastAsia="zh-CN"/>
              </w:rPr>
              <w:t>稀油站</w:t>
            </w:r>
            <w:r>
              <w:rPr>
                <w:rFonts w:hint="eastAsia" w:asciiTheme="minorEastAsia" w:hAnsiTheme="minorEastAsia" w:eastAsiaTheme="minorEastAsia" w:cstheme="minorEastAsia"/>
                <w:sz w:val="21"/>
                <w:szCs w:val="21"/>
              </w:rPr>
              <w:t>的《项目立项申请书》，记录了</w:t>
            </w:r>
            <w:r>
              <w:rPr>
                <w:rFonts w:hint="eastAsia" w:asciiTheme="minorEastAsia" w:hAnsiTheme="minorEastAsia" w:eastAsiaTheme="minorEastAsia" w:cstheme="minorEastAsia"/>
                <w:sz w:val="21"/>
                <w:szCs w:val="21"/>
                <w:lang w:val="en-US" w:eastAsia="zh-CN"/>
              </w:rPr>
              <w:t>稀油站</w:t>
            </w:r>
            <w:r>
              <w:rPr>
                <w:rFonts w:hint="eastAsia" w:asciiTheme="minorEastAsia" w:hAnsiTheme="minorEastAsia" w:eastAsiaTheme="minorEastAsia" w:cstheme="minorEastAsia"/>
                <w:sz w:val="21"/>
                <w:szCs w:val="21"/>
              </w:rPr>
              <w:t>设计开发的策划，包括了设计和开发各个阶段的评审、验证和确认活动，以及设计开发人员分工及职责，编制：</w:t>
            </w:r>
            <w:r>
              <w:rPr>
                <w:rFonts w:hint="eastAsia" w:asciiTheme="minorEastAsia" w:hAnsiTheme="minorEastAsia" w:eastAsiaTheme="minorEastAsia" w:cstheme="minorEastAsia"/>
                <w:color w:val="auto"/>
                <w:sz w:val="21"/>
                <w:szCs w:val="21"/>
                <w:lang w:val="en-US" w:eastAsia="zh-CN"/>
              </w:rPr>
              <w:t>技术部</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批准：刘星海  日期：2021.5.24</w:t>
            </w:r>
            <w:r>
              <w:rPr>
                <w:rFonts w:hint="eastAsia" w:asciiTheme="minorEastAsia" w:hAnsiTheme="minorEastAsia" w:eastAsiaTheme="minorEastAsia" w:cstheme="minorEastAsia"/>
                <w:sz w:val="21"/>
                <w:szCs w:val="21"/>
              </w:rPr>
              <w:t>。</w:t>
            </w:r>
          </w:p>
          <w:p>
            <w:pPr>
              <w:spacing w:line="360" w:lineRule="auto"/>
              <w:ind w:firstLine="420" w:firstLineChars="200"/>
              <w:rPr>
                <w:rFonts w:hint="eastAsia" w:asciiTheme="minorEastAsia" w:hAnsiTheme="minorEastAsia" w:eastAsiaTheme="minorEastAsia" w:cstheme="minorEastAsia"/>
                <w:sz w:val="21"/>
                <w:szCs w:val="21"/>
              </w:rPr>
            </w:pPr>
            <w:r>
              <w:drawing>
                <wp:anchor distT="0" distB="0" distL="114300" distR="114300" simplePos="0" relativeHeight="251662336" behindDoc="0" locked="0" layoutInCell="1" allowOverlap="1">
                  <wp:simplePos x="0" y="0"/>
                  <wp:positionH relativeFrom="column">
                    <wp:posOffset>1219200</wp:posOffset>
                  </wp:positionH>
                  <wp:positionV relativeFrom="paragraph">
                    <wp:posOffset>72390</wp:posOffset>
                  </wp:positionV>
                  <wp:extent cx="2464435" cy="3162300"/>
                  <wp:effectExtent l="0" t="0" r="12065" b="0"/>
                  <wp:wrapNone/>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7"/>
                          <a:stretch>
                            <a:fillRect/>
                          </a:stretch>
                        </pic:blipFill>
                        <pic:spPr>
                          <a:xfrm>
                            <a:off x="0" y="0"/>
                            <a:ext cx="2464435" cy="3162300"/>
                          </a:xfrm>
                          <a:prstGeom prst="rect">
                            <a:avLst/>
                          </a:prstGeom>
                          <a:noFill/>
                          <a:ln>
                            <a:noFill/>
                          </a:ln>
                        </pic:spPr>
                      </pic:pic>
                    </a:graphicData>
                  </a:graphic>
                </wp:anchor>
              </w:drawing>
            </w: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lang w:eastAsia="zh-CN"/>
              </w:rPr>
            </w:pPr>
          </w:p>
          <w:p>
            <w:pPr>
              <w:spacing w:line="360" w:lineRule="auto"/>
              <w:ind w:firstLine="420" w:firstLineChars="200"/>
              <w:rPr>
                <w:rFonts w:hint="eastAsia" w:asciiTheme="minorEastAsia" w:hAnsiTheme="minorEastAsia" w:eastAsiaTheme="minorEastAsia" w:cstheme="minorEastAsia"/>
                <w:sz w:val="21"/>
                <w:szCs w:val="21"/>
              </w:rPr>
            </w:pPr>
          </w:p>
          <w:p>
            <w:pPr>
              <w:ind w:firstLine="420" w:firstLineChars="20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又</w:t>
            </w:r>
            <w:r>
              <w:rPr>
                <w:rFonts w:hint="eastAsia" w:asciiTheme="minorEastAsia" w:hAnsiTheme="minorEastAsia" w:eastAsiaTheme="minorEastAsia" w:cstheme="minorEastAsia"/>
                <w:sz w:val="21"/>
                <w:szCs w:val="21"/>
              </w:rPr>
              <w:t>抽查</w:t>
            </w:r>
            <w:r>
              <w:rPr>
                <w:rFonts w:hint="eastAsia" w:asciiTheme="minorEastAsia" w:hAnsiTheme="minorEastAsia" w:eastAsiaTheme="minorEastAsia" w:cstheme="minorEastAsia"/>
                <w:sz w:val="21"/>
                <w:szCs w:val="21"/>
                <w:lang w:eastAsia="zh-CN"/>
              </w:rPr>
              <w:t>滤油机</w:t>
            </w:r>
            <w:r>
              <w:rPr>
                <w:rFonts w:hint="eastAsia" w:asciiTheme="minorEastAsia" w:hAnsiTheme="minorEastAsia" w:eastAsiaTheme="minorEastAsia" w:cstheme="minorEastAsia"/>
                <w:sz w:val="21"/>
                <w:szCs w:val="21"/>
              </w:rPr>
              <w:t>的《项目立项申请书》，记录了</w:t>
            </w:r>
            <w:r>
              <w:rPr>
                <w:rFonts w:hint="eastAsia" w:asciiTheme="minorEastAsia" w:hAnsiTheme="minorEastAsia" w:eastAsiaTheme="minorEastAsia" w:cstheme="minorEastAsia"/>
                <w:sz w:val="21"/>
                <w:szCs w:val="21"/>
                <w:lang w:eastAsia="zh-CN"/>
              </w:rPr>
              <w:t>滤油机</w:t>
            </w:r>
            <w:r>
              <w:rPr>
                <w:rFonts w:hint="eastAsia" w:asciiTheme="minorEastAsia" w:hAnsiTheme="minorEastAsia" w:eastAsiaTheme="minorEastAsia" w:cstheme="minorEastAsia"/>
                <w:sz w:val="21"/>
                <w:szCs w:val="21"/>
              </w:rPr>
              <w:t>设计开发的策划，包括了设计和开发各个阶段的评审、验证和确认活动，以及设计开发人员分工及职责，编制：</w:t>
            </w:r>
            <w:r>
              <w:rPr>
                <w:rFonts w:hint="eastAsia" w:asciiTheme="minorEastAsia" w:hAnsiTheme="minorEastAsia" w:eastAsiaTheme="minorEastAsia" w:cstheme="minorEastAsia"/>
                <w:color w:val="auto"/>
                <w:sz w:val="21"/>
                <w:szCs w:val="21"/>
                <w:lang w:val="en-US" w:eastAsia="zh-CN"/>
              </w:rPr>
              <w:t>技术部</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批准：刘星海  日期：2021.5.11</w:t>
            </w:r>
            <w:r>
              <w:rPr>
                <w:rFonts w:hint="eastAsia" w:asciiTheme="minorEastAsia" w:hAnsiTheme="minorEastAsia" w:eastAsiaTheme="minorEastAsia" w:cstheme="minorEastAsia"/>
                <w:sz w:val="21"/>
                <w:szCs w:val="21"/>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基本符合设计开发过程策划的控制要求。</w:t>
            </w:r>
          </w:p>
        </w:tc>
        <w:tc>
          <w:tcPr>
            <w:tcW w:w="81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09" w:type="dxa"/>
            <w:vMerge w:val="continue"/>
            <w:vAlign w:val="center"/>
          </w:tcPr>
          <w:p>
            <w:pPr>
              <w:spacing w:line="360" w:lineRule="auto"/>
              <w:rPr>
                <w:rFonts w:hint="eastAsia" w:asciiTheme="minorEastAsia" w:hAnsiTheme="minorEastAsia" w:eastAsiaTheme="minorEastAsia" w:cstheme="minorEastAsia"/>
                <w:spacing w:val="-10"/>
                <w:sz w:val="21"/>
                <w:szCs w:val="21"/>
              </w:rPr>
            </w:pPr>
          </w:p>
        </w:tc>
        <w:tc>
          <w:tcPr>
            <w:tcW w:w="1311" w:type="dxa"/>
          </w:tcPr>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Q8.3.3设计和开发输入</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Q8.5.1设计服务过程控制</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Q8.6产品放行</w:t>
            </w:r>
          </w:p>
        </w:tc>
        <w:tc>
          <w:tcPr>
            <w:tcW w:w="10770" w:type="dxa"/>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查设计和开发的输入：提供了《项目</w:t>
            </w:r>
            <w:r>
              <w:rPr>
                <w:rFonts w:hint="eastAsia" w:asciiTheme="minorEastAsia" w:hAnsiTheme="minorEastAsia" w:eastAsiaTheme="minorEastAsia" w:cstheme="minorEastAsia"/>
                <w:sz w:val="21"/>
                <w:szCs w:val="21"/>
                <w:lang w:val="en-US" w:eastAsia="zh-CN"/>
              </w:rPr>
              <w:t>建议</w:t>
            </w:r>
            <w:r>
              <w:rPr>
                <w:rFonts w:hint="eastAsia" w:asciiTheme="minorEastAsia" w:hAnsiTheme="minorEastAsia" w:eastAsiaTheme="minorEastAsia" w:cstheme="minorEastAsia"/>
                <w:sz w:val="21"/>
                <w:szCs w:val="21"/>
              </w:rPr>
              <w:t>书》、《设计开发输入清单》。</w:t>
            </w:r>
          </w:p>
          <w:p>
            <w:pPr>
              <w:spacing w:line="360" w:lineRule="auto"/>
              <w:ind w:firstLine="420" w:firstLineChars="2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sz w:val="21"/>
                <w:szCs w:val="21"/>
              </w:rPr>
              <w:t>查项目名称：</w:t>
            </w:r>
            <w:r>
              <w:rPr>
                <w:rFonts w:hint="eastAsia" w:asciiTheme="minorEastAsia" w:hAnsiTheme="minorEastAsia" w:eastAsiaTheme="minorEastAsia" w:cstheme="minorEastAsia"/>
                <w:sz w:val="21"/>
                <w:szCs w:val="21"/>
                <w:lang w:val="en-US" w:eastAsia="zh-CN"/>
              </w:rPr>
              <w:t>稀油站</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设计内容：</w:t>
            </w:r>
            <w:r>
              <w:rPr>
                <w:rFonts w:hint="eastAsia" w:asciiTheme="minorEastAsia" w:hAnsiTheme="minorEastAsia" w:eastAsiaTheme="minorEastAsia" w:cstheme="minorEastAsia"/>
                <w:color w:val="auto"/>
                <w:sz w:val="21"/>
                <w:szCs w:val="21"/>
              </w:rPr>
              <w:t>适用法律法规要求</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使用标准：</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顾客要求或本公司要求，如：调研报告、计划、使用的法律法规及其他要求、产品标准、技术要求、质量特性等。</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440" w:lineRule="exact"/>
              <w:ind w:left="880" w:leftChars="0" w:right="0" w:rightChars="0" w:hanging="72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立项申请书；</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440" w:lineRule="exact"/>
              <w:ind w:left="880" w:leftChars="0" w:right="0" w:rightChars="0" w:hanging="72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设计任务书；</w:t>
            </w:r>
          </w:p>
          <w:p>
            <w:pPr>
              <w:numPr>
                <w:ilvl w:val="0"/>
                <w:numId w:val="3"/>
              </w:numPr>
              <w:spacing w:line="360" w:lineRule="auto"/>
              <w:ind w:left="880" w:leftChars="0" w:hanging="72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产品质量法和产品计量法；</w:t>
            </w:r>
          </w:p>
          <w:p>
            <w:pPr>
              <w:numPr>
                <w:ilvl w:val="0"/>
                <w:numId w:val="3"/>
              </w:numPr>
              <w:spacing w:line="360" w:lineRule="auto"/>
              <w:ind w:left="880" w:leftChars="0" w:hanging="72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设计开发产品功能和性能要求</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验收测试的主要目的是验证所开发的系统在用户的使用环境下（或模拟的使用环境下）是否满足系统需求，从用户的角度验证整个系统运行的正确性</w:t>
            </w:r>
            <w:r>
              <w:rPr>
                <w:rFonts w:hint="eastAsia" w:asciiTheme="minorEastAsia" w:hAnsiTheme="minorEastAsia" w:eastAsiaTheme="minorEastAsia" w:cstheme="minorEastAsia"/>
                <w:sz w:val="21"/>
                <w:szCs w:val="21"/>
              </w:rPr>
              <w:t>。</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参考类似设计信息</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参考类似的原有产品款式信息、质量技术文件。</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设计开发必要的要求</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按照《设计</w:t>
            </w:r>
            <w:r>
              <w:rPr>
                <w:rFonts w:hint="eastAsia" w:asciiTheme="minorEastAsia" w:hAnsiTheme="minorEastAsia" w:eastAsiaTheme="minorEastAsia" w:cstheme="minorEastAsia"/>
                <w:color w:val="auto"/>
                <w:sz w:val="21"/>
                <w:szCs w:val="21"/>
                <w:lang w:eastAsia="zh-CN"/>
              </w:rPr>
              <w:t>和</w:t>
            </w:r>
            <w:r>
              <w:rPr>
                <w:rFonts w:hint="eastAsia" w:asciiTheme="minorEastAsia" w:hAnsiTheme="minorEastAsia" w:eastAsiaTheme="minorEastAsia" w:cstheme="minorEastAsia"/>
                <w:color w:val="auto"/>
                <w:sz w:val="21"/>
                <w:szCs w:val="21"/>
              </w:rPr>
              <w:t>开发控制程序》进行设计、应考虑产品综合成本最大化使用率。</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其它要求</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按照需求分析、系统分析与设计要求、系统编码、系统测试几个过程有序推进</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查到对设计开发输入进行了评审，经评审设计输入评审通过。</w:t>
            </w:r>
          </w:p>
          <w:p>
            <w:pPr>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评审人员：</w:t>
            </w:r>
            <w:r>
              <w:rPr>
                <w:rFonts w:hint="eastAsia" w:asciiTheme="minorEastAsia" w:hAnsiTheme="minorEastAsia" w:eastAsiaTheme="minorEastAsia" w:cstheme="minorEastAsia"/>
                <w:b w:val="0"/>
                <w:bCs w:val="0"/>
                <w:sz w:val="21"/>
                <w:szCs w:val="21"/>
                <w:lang w:val="en-US" w:eastAsia="zh-CN"/>
              </w:rPr>
              <w:t>王佳春</w:t>
            </w:r>
            <w:r>
              <w:rPr>
                <w:rFonts w:hint="eastAsia" w:asciiTheme="minorEastAsia" w:hAnsiTheme="minorEastAsia" w:eastAsiaTheme="minorEastAsia" w:cstheme="minorEastAsia"/>
                <w:b w:val="0"/>
                <w:bCs w:val="0"/>
                <w:sz w:val="21"/>
                <w:szCs w:val="21"/>
              </w:rPr>
              <w:t>，批准人</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 xml:space="preserve">李永双 </w:t>
            </w:r>
            <w:r>
              <w:rPr>
                <w:rFonts w:hint="eastAsia" w:asciiTheme="minorEastAsia" w:hAnsiTheme="minorEastAsia" w:eastAsiaTheme="minorEastAsia" w:cstheme="minorEastAsia"/>
                <w:b w:val="0"/>
                <w:bCs w:val="0"/>
                <w:sz w:val="21"/>
                <w:szCs w:val="21"/>
              </w:rPr>
              <w:t>20</w:t>
            </w:r>
            <w:r>
              <w:rPr>
                <w:rFonts w:hint="eastAsia" w:asciiTheme="minorEastAsia" w:hAnsiTheme="minorEastAsia" w:eastAsiaTheme="minorEastAsia" w:cstheme="minorEastAsia"/>
                <w:b w:val="0"/>
                <w:bCs w:val="0"/>
                <w:sz w:val="21"/>
                <w:szCs w:val="21"/>
                <w:lang w:val="en-US" w:eastAsia="zh-CN"/>
              </w:rPr>
              <w:t>21.5.24</w:t>
            </w:r>
            <w:r>
              <w:rPr>
                <w:rFonts w:hint="eastAsia" w:asciiTheme="minorEastAsia" w:hAnsiTheme="minorEastAsia" w:eastAsiaTheme="minorEastAsia" w:cstheme="minorEastAsia"/>
                <w:b w:val="0"/>
                <w:bCs w:val="0"/>
                <w:sz w:val="21"/>
                <w:szCs w:val="21"/>
              </w:rPr>
              <w:t>日。</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另外查滤油机的设计开发输入清单，也经过了评审和批准，设计输入评审通过。</w:t>
            </w:r>
          </w:p>
        </w:tc>
        <w:tc>
          <w:tcPr>
            <w:tcW w:w="81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809" w:type="dxa"/>
            <w:vMerge w:val="continue"/>
            <w:vAlign w:val="center"/>
          </w:tcPr>
          <w:p>
            <w:pPr>
              <w:spacing w:line="360" w:lineRule="auto"/>
              <w:rPr>
                <w:rFonts w:hint="eastAsia" w:asciiTheme="minorEastAsia" w:hAnsiTheme="minorEastAsia" w:eastAsiaTheme="minorEastAsia" w:cstheme="minorEastAsia"/>
                <w:spacing w:val="-10"/>
                <w:sz w:val="21"/>
                <w:szCs w:val="21"/>
              </w:rPr>
            </w:pPr>
          </w:p>
        </w:tc>
        <w:tc>
          <w:tcPr>
            <w:tcW w:w="1311" w:type="dxa"/>
          </w:tcPr>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Q8.3.4设计和开发控制</w:t>
            </w:r>
          </w:p>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Q8.5.1设计服务过程控制</w:t>
            </w:r>
          </w:p>
          <w:p>
            <w:pPr>
              <w:spacing w:line="360" w:lineRule="auto"/>
              <w:rPr>
                <w:rFonts w:hint="eastAsia" w:asciiTheme="minorEastAsia" w:hAnsiTheme="minorEastAsia" w:eastAsiaTheme="minorEastAsia" w:cstheme="minorEastAsia"/>
                <w:sz w:val="21"/>
                <w:szCs w:val="21"/>
              </w:rPr>
            </w:pPr>
          </w:p>
        </w:tc>
        <w:tc>
          <w:tcPr>
            <w:tcW w:w="10770" w:type="dxa"/>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一、设计开发的评审：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查设计开发输入阶段进行了评审，见8.3.3审核记录。</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查设计开发输出阶段进行了评审，见8.3.5审核记录。</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查到</w:t>
            </w:r>
            <w:r>
              <w:rPr>
                <w:rFonts w:hint="eastAsia" w:asciiTheme="minorEastAsia" w:hAnsiTheme="minorEastAsia" w:eastAsiaTheme="minorEastAsia" w:cstheme="minorEastAsia"/>
                <w:sz w:val="21"/>
                <w:szCs w:val="21"/>
                <w:lang w:val="en-US" w:eastAsia="zh-CN"/>
              </w:rPr>
              <w:t>稀油站</w:t>
            </w:r>
            <w:r>
              <w:rPr>
                <w:rFonts w:hint="eastAsia" w:asciiTheme="minorEastAsia" w:hAnsiTheme="minorEastAsia" w:eastAsiaTheme="minorEastAsia" w:cstheme="minorEastAsia"/>
                <w:sz w:val="21"/>
                <w:szCs w:val="21"/>
              </w:rPr>
              <w:t>的《设计开发评审报告》，在</w:t>
            </w:r>
            <w:r>
              <w:rPr>
                <w:rFonts w:hint="eastAsia" w:asciiTheme="minorEastAsia" w:hAnsiTheme="minorEastAsia" w:eastAsiaTheme="minorEastAsia" w:cstheme="minorEastAsia"/>
                <w:sz w:val="21"/>
                <w:szCs w:val="21"/>
                <w:lang w:val="en-US" w:eastAsia="zh-CN"/>
              </w:rPr>
              <w:t>设计方案</w:t>
            </w:r>
            <w:r>
              <w:rPr>
                <w:rFonts w:hint="eastAsia" w:asciiTheme="minorEastAsia" w:hAnsiTheme="minorEastAsia" w:eastAsiaTheme="minorEastAsia" w:cstheme="minorEastAsia"/>
                <w:sz w:val="21"/>
                <w:szCs w:val="21"/>
              </w:rPr>
              <w:t>完成阶段进行了评审，</w:t>
            </w:r>
          </w:p>
          <w:p>
            <w:pPr>
              <w:tabs>
                <w:tab w:val="left" w:pos="270"/>
              </w:tabs>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评审记录：</w:t>
            </w:r>
          </w:p>
          <w:p>
            <w:pPr>
              <w:numPr>
                <w:ilvl w:val="0"/>
                <w:numId w:val="4"/>
              </w:numPr>
              <w:tabs>
                <w:tab w:val="left" w:pos="270"/>
              </w:tabs>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产品总体要求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已确定</w:t>
            </w:r>
          </w:p>
          <w:p>
            <w:pPr>
              <w:numPr>
                <w:ilvl w:val="0"/>
                <w:numId w:val="4"/>
              </w:numPr>
              <w:tabs>
                <w:tab w:val="left" w:pos="270"/>
              </w:tabs>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产品执行法律法规                      已明确</w:t>
            </w:r>
          </w:p>
          <w:p>
            <w:pPr>
              <w:numPr>
                <w:ilvl w:val="0"/>
                <w:numId w:val="4"/>
              </w:numPr>
              <w:tabs>
                <w:tab w:val="left" w:pos="270"/>
              </w:tabs>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类似产品的设计信息                    已明了</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本阶段确定目标系统的主要功能如何完成。采用流程图或其他工具描述出每种可能的系统，推荐出一个最佳的方案，并制定出实现该系统的详细计划。评审人员：</w:t>
            </w:r>
            <w:r>
              <w:rPr>
                <w:rFonts w:hint="eastAsia" w:asciiTheme="minorEastAsia" w:hAnsiTheme="minorEastAsia" w:eastAsiaTheme="minorEastAsia" w:cstheme="minorEastAsia"/>
                <w:sz w:val="21"/>
                <w:szCs w:val="21"/>
                <w:lang w:val="en-US" w:eastAsia="zh-CN"/>
              </w:rPr>
              <w:t>技术部、经营部、生产部、质检部工程师</w:t>
            </w:r>
            <w:r>
              <w:rPr>
                <w:rFonts w:hint="eastAsia" w:asciiTheme="minorEastAsia" w:hAnsiTheme="minorEastAsia" w:eastAsiaTheme="minorEastAsia" w:cstheme="minorEastAsia"/>
                <w:sz w:val="21"/>
                <w:szCs w:val="21"/>
              </w:rPr>
              <w:t>，批准人</w:t>
            </w:r>
            <w:r>
              <w:rPr>
                <w:rFonts w:hint="eastAsia" w:asciiTheme="minorEastAsia" w:hAnsiTheme="minorEastAsia" w:eastAsiaTheme="minorEastAsia" w:cstheme="minorEastAsia"/>
                <w:sz w:val="21"/>
                <w:szCs w:val="21"/>
                <w:lang w:val="en-US" w:eastAsia="zh-CN"/>
              </w:rPr>
              <w:t>李永双</w:t>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6.28</w:t>
            </w:r>
            <w:r>
              <w:rPr>
                <w:rFonts w:hint="eastAsia" w:asciiTheme="minorEastAsia" w:hAnsiTheme="minorEastAsia" w:eastAsiaTheme="minorEastAsia" w:cstheme="minorEastAsia"/>
                <w:sz w:val="21"/>
                <w:szCs w:val="21"/>
              </w:rPr>
              <w:t>日。</w:t>
            </w:r>
          </w:p>
          <w:p>
            <w:pPr>
              <w:spacing w:line="360" w:lineRule="auto"/>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另外抽查20</w:t>
            </w:r>
            <w:r>
              <w:rPr>
                <w:rFonts w:hint="eastAsia" w:asciiTheme="minorEastAsia" w:hAnsiTheme="minorEastAsia" w:eastAsiaTheme="minorEastAsia" w:cstheme="minorEastAsia"/>
                <w:sz w:val="21"/>
                <w:szCs w:val="21"/>
                <w:lang w:val="en-US" w:eastAsia="zh-CN"/>
              </w:rPr>
              <w:t>21.6.18</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滤油机</w:t>
            </w:r>
            <w:r>
              <w:rPr>
                <w:rFonts w:hint="eastAsia" w:asciiTheme="minorEastAsia" w:hAnsiTheme="minorEastAsia" w:eastAsiaTheme="minorEastAsia" w:cstheme="minorEastAsia"/>
                <w:sz w:val="21"/>
                <w:szCs w:val="21"/>
              </w:rPr>
              <w:t>的《设计开发评审报告》，各项技术指标均达到要求，情况基本同上。</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二、设计开发验证：</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提供了</w:t>
            </w:r>
            <w:r>
              <w:rPr>
                <w:rFonts w:hint="eastAsia" w:asciiTheme="minorEastAsia" w:hAnsiTheme="minorEastAsia" w:eastAsiaTheme="minorEastAsia" w:cstheme="minorEastAsia"/>
                <w:sz w:val="21"/>
                <w:szCs w:val="21"/>
                <w:lang w:val="en-US" w:eastAsia="zh-CN"/>
              </w:rPr>
              <w:t>稀油站</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val="0"/>
                <w:bCs w:val="0"/>
                <w:sz w:val="21"/>
                <w:szCs w:val="21"/>
              </w:rPr>
              <w:t>《设计开发验证报告》</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auto"/>
                <w:sz w:val="21"/>
                <w:szCs w:val="21"/>
              </w:rPr>
              <w:t>设计开发输入综述（性能、功能、技术参数及依据的标准或法律法规等）</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输出应有：设计计算书、产品设计图纸、设施要求、试验要求、检验规范、工艺流程、原料要求、监测点、接收准则、环境要求等。</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160" w:leftChars="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1、设计计算书；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160" w:leftChars="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2、施工要求：安装时，需要大型起重机械，尤其对起重高度有要求，能升1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米以上高度；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160" w:leftChars="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3、检验规范见公司产品检验规范；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160" w:leftChars="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4、工艺流程见工艺流程图；</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160" w:leftChars="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5、产品设计图纸、采购单；</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160" w:leftChars="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6、符合产品质量法和产品计量法；</w:t>
            </w:r>
          </w:p>
          <w:p>
            <w:pPr>
              <w:spacing w:line="24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7、产品的制造和安装不会污染环境。</w:t>
            </w:r>
          </w:p>
          <w:p>
            <w:pPr>
              <w:spacing w:line="240" w:lineRule="auto"/>
              <w:ind w:firstLine="210" w:firstLineChars="100"/>
              <w:jc w:val="both"/>
              <w:rPr>
                <w:rFonts w:hint="eastAsia" w:asciiTheme="minorEastAsia" w:hAnsiTheme="minorEastAsia" w:eastAsiaTheme="minorEastAsia" w:cstheme="minorEastAsia"/>
                <w:sz w:val="21"/>
                <w:szCs w:val="21"/>
              </w:rPr>
            </w:pPr>
          </w:p>
          <w:p>
            <w:pPr>
              <w:spacing w:line="240" w:lineRule="auto"/>
              <w:ind w:firstLine="210" w:firstLineChars="100"/>
              <w:jc w:val="both"/>
              <w:rPr>
                <w:rFonts w:hint="eastAsia" w:asciiTheme="minorEastAsia" w:hAnsiTheme="minorEastAsia" w:eastAsiaTheme="minorEastAsia" w:cstheme="minorEastAsia"/>
                <w:sz w:val="21"/>
                <w:szCs w:val="21"/>
              </w:rPr>
            </w:pPr>
          </w:p>
          <w:p>
            <w:pPr>
              <w:spacing w:line="240" w:lineRule="auto"/>
              <w:ind w:firstLine="210" w:firstLineChars="100"/>
              <w:jc w:val="both"/>
              <w:rPr>
                <w:rFonts w:hint="eastAsia" w:asciiTheme="minorEastAsia" w:hAnsiTheme="minorEastAsia" w:eastAsiaTheme="minorEastAsia" w:cstheme="minorEastAsia"/>
                <w:sz w:val="21"/>
                <w:szCs w:val="21"/>
                <w:lang w:eastAsia="zh-CN"/>
              </w:rPr>
            </w:pPr>
          </w:p>
          <w:p>
            <w:pPr>
              <w:spacing w:line="240" w:lineRule="auto"/>
              <w:ind w:firstLine="210" w:firstLineChars="100"/>
              <w:jc w:val="both"/>
              <w:rPr>
                <w:rFonts w:hint="eastAsia" w:asciiTheme="minorEastAsia" w:hAnsiTheme="minorEastAsia" w:eastAsiaTheme="minorEastAsia" w:cstheme="minorEastAsia"/>
                <w:sz w:val="21"/>
                <w:szCs w:val="21"/>
                <w:lang w:eastAsia="zh-CN"/>
              </w:rPr>
            </w:pPr>
          </w:p>
          <w:p>
            <w:pPr>
              <w:spacing w:line="240" w:lineRule="auto"/>
              <w:ind w:firstLine="210" w:firstLineChars="100"/>
              <w:jc w:val="both"/>
              <w:rPr>
                <w:rFonts w:hint="eastAsia" w:asciiTheme="minorEastAsia" w:hAnsiTheme="minorEastAsia" w:eastAsiaTheme="minorEastAsia" w:cstheme="minorEastAsia"/>
                <w:sz w:val="21"/>
                <w:szCs w:val="21"/>
                <w:lang w:eastAsia="zh-CN"/>
              </w:rPr>
            </w:pPr>
          </w:p>
          <w:p>
            <w:pPr>
              <w:spacing w:line="240" w:lineRule="auto"/>
              <w:ind w:firstLine="210" w:firstLineChars="100"/>
              <w:jc w:val="both"/>
              <w:rPr>
                <w:rFonts w:hint="eastAsia" w:asciiTheme="minorEastAsia" w:hAnsiTheme="minorEastAsia" w:eastAsiaTheme="minorEastAsia" w:cstheme="minorEastAsia"/>
                <w:sz w:val="21"/>
                <w:szCs w:val="21"/>
                <w:lang w:eastAsia="zh-CN"/>
              </w:rPr>
            </w:pPr>
            <w:r>
              <w:drawing>
                <wp:anchor distT="0" distB="0" distL="114300" distR="114300" simplePos="0" relativeHeight="251663360" behindDoc="0" locked="0" layoutInCell="1" allowOverlap="1">
                  <wp:simplePos x="0" y="0"/>
                  <wp:positionH relativeFrom="column">
                    <wp:posOffset>2736850</wp:posOffset>
                  </wp:positionH>
                  <wp:positionV relativeFrom="paragraph">
                    <wp:posOffset>110490</wp:posOffset>
                  </wp:positionV>
                  <wp:extent cx="2609850" cy="2929890"/>
                  <wp:effectExtent l="0" t="0" r="6350" b="3810"/>
                  <wp:wrapNone/>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8"/>
                          <a:stretch>
                            <a:fillRect/>
                          </a:stretch>
                        </pic:blipFill>
                        <pic:spPr>
                          <a:xfrm>
                            <a:off x="0" y="0"/>
                            <a:ext cx="2609850" cy="2929890"/>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column">
                    <wp:posOffset>133350</wp:posOffset>
                  </wp:positionH>
                  <wp:positionV relativeFrom="paragraph">
                    <wp:posOffset>92710</wp:posOffset>
                  </wp:positionV>
                  <wp:extent cx="2216785" cy="2927985"/>
                  <wp:effectExtent l="0" t="0" r="5715" b="5715"/>
                  <wp:wrapNone/>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9"/>
                          <a:stretch>
                            <a:fillRect/>
                          </a:stretch>
                        </pic:blipFill>
                        <pic:spPr>
                          <a:xfrm>
                            <a:off x="0" y="0"/>
                            <a:ext cx="2216785" cy="2927985"/>
                          </a:xfrm>
                          <a:prstGeom prst="rect">
                            <a:avLst/>
                          </a:prstGeom>
                          <a:noFill/>
                          <a:ln>
                            <a:noFill/>
                          </a:ln>
                        </pic:spPr>
                      </pic:pic>
                    </a:graphicData>
                  </a:graphic>
                </wp:anchor>
              </w:drawing>
            </w:r>
          </w:p>
          <w:p>
            <w:pPr>
              <w:spacing w:line="240" w:lineRule="auto"/>
              <w:ind w:firstLine="210" w:firstLineChars="100"/>
              <w:jc w:val="both"/>
              <w:rPr>
                <w:rFonts w:hint="eastAsia" w:asciiTheme="minorEastAsia" w:hAnsiTheme="minorEastAsia" w:eastAsiaTheme="minorEastAsia" w:cstheme="minorEastAsia"/>
                <w:sz w:val="21"/>
                <w:szCs w:val="21"/>
                <w:lang w:eastAsia="zh-CN"/>
              </w:rPr>
            </w:pPr>
          </w:p>
          <w:p>
            <w:pPr>
              <w:spacing w:line="240" w:lineRule="auto"/>
              <w:ind w:firstLine="210" w:firstLineChars="100"/>
              <w:jc w:val="both"/>
              <w:rPr>
                <w:rFonts w:hint="eastAsia" w:asciiTheme="minorEastAsia" w:hAnsiTheme="minorEastAsia" w:eastAsiaTheme="minorEastAsia" w:cstheme="minorEastAsia"/>
                <w:sz w:val="21"/>
                <w:szCs w:val="21"/>
                <w:lang w:eastAsia="zh-CN"/>
              </w:rPr>
            </w:pPr>
          </w:p>
          <w:p>
            <w:pPr>
              <w:spacing w:line="240" w:lineRule="auto"/>
              <w:ind w:firstLine="210" w:firstLineChars="100"/>
              <w:jc w:val="both"/>
              <w:rPr>
                <w:rFonts w:hint="eastAsia" w:asciiTheme="minorEastAsia" w:hAnsiTheme="minorEastAsia" w:eastAsiaTheme="minorEastAsia" w:cstheme="minorEastAsia"/>
                <w:sz w:val="21"/>
                <w:szCs w:val="21"/>
                <w:lang w:eastAsia="zh-CN"/>
              </w:rPr>
            </w:pPr>
          </w:p>
          <w:p>
            <w:pPr>
              <w:spacing w:line="240" w:lineRule="auto"/>
              <w:ind w:firstLine="210" w:firstLineChars="100"/>
              <w:jc w:val="both"/>
              <w:rPr>
                <w:rFonts w:hint="eastAsia" w:asciiTheme="minorEastAsia" w:hAnsiTheme="minorEastAsia" w:eastAsiaTheme="minorEastAsia" w:cstheme="minorEastAsia"/>
                <w:sz w:val="21"/>
                <w:szCs w:val="21"/>
                <w:lang w:eastAsia="zh-CN"/>
              </w:rPr>
            </w:pPr>
          </w:p>
          <w:p>
            <w:pPr>
              <w:spacing w:line="240" w:lineRule="auto"/>
              <w:ind w:firstLine="210" w:firstLineChars="100"/>
              <w:jc w:val="both"/>
              <w:rPr>
                <w:rFonts w:hint="eastAsia" w:asciiTheme="minorEastAsia" w:hAnsiTheme="minorEastAsia" w:eastAsiaTheme="minorEastAsia" w:cstheme="minorEastAsia"/>
                <w:sz w:val="21"/>
                <w:szCs w:val="21"/>
                <w:lang w:eastAsia="zh-CN"/>
              </w:rPr>
            </w:pPr>
          </w:p>
          <w:p>
            <w:pPr>
              <w:spacing w:line="240" w:lineRule="auto"/>
              <w:ind w:firstLine="210" w:firstLineChars="100"/>
              <w:jc w:val="both"/>
              <w:rPr>
                <w:rFonts w:hint="eastAsia" w:asciiTheme="minorEastAsia" w:hAnsiTheme="minorEastAsia" w:eastAsiaTheme="minorEastAsia" w:cstheme="minorEastAsia"/>
                <w:sz w:val="21"/>
                <w:szCs w:val="21"/>
                <w:lang w:eastAsia="zh-CN"/>
              </w:rPr>
            </w:pPr>
          </w:p>
          <w:p>
            <w:pPr>
              <w:spacing w:line="240" w:lineRule="auto"/>
              <w:ind w:firstLine="210" w:firstLineChars="100"/>
              <w:jc w:val="both"/>
              <w:rPr>
                <w:rFonts w:hint="eastAsia" w:asciiTheme="minorEastAsia" w:hAnsiTheme="minorEastAsia" w:eastAsiaTheme="minorEastAsia" w:cstheme="minorEastAsia"/>
                <w:sz w:val="21"/>
                <w:szCs w:val="21"/>
                <w:lang w:eastAsia="zh-CN"/>
              </w:rPr>
            </w:pPr>
          </w:p>
          <w:p>
            <w:pPr>
              <w:spacing w:line="240" w:lineRule="auto"/>
              <w:ind w:firstLine="210" w:firstLineChars="100"/>
              <w:jc w:val="both"/>
              <w:rPr>
                <w:rFonts w:hint="eastAsia" w:asciiTheme="minorEastAsia" w:hAnsiTheme="minorEastAsia" w:eastAsiaTheme="minorEastAsia" w:cstheme="minorEastAsia"/>
                <w:sz w:val="21"/>
                <w:szCs w:val="21"/>
                <w:lang w:eastAsia="zh-CN"/>
              </w:rPr>
            </w:pPr>
          </w:p>
          <w:p>
            <w:pPr>
              <w:spacing w:line="240" w:lineRule="auto"/>
              <w:ind w:firstLine="210" w:firstLineChars="100"/>
              <w:jc w:val="both"/>
              <w:rPr>
                <w:rFonts w:hint="eastAsia" w:asciiTheme="minorEastAsia" w:hAnsiTheme="minorEastAsia" w:eastAsiaTheme="minorEastAsia" w:cstheme="minorEastAsia"/>
                <w:sz w:val="21"/>
                <w:szCs w:val="21"/>
                <w:lang w:eastAsia="zh-CN"/>
              </w:rPr>
            </w:pPr>
          </w:p>
          <w:p>
            <w:pPr>
              <w:spacing w:line="240" w:lineRule="auto"/>
              <w:ind w:firstLine="210" w:firstLineChars="100"/>
              <w:jc w:val="both"/>
              <w:rPr>
                <w:rFonts w:hint="eastAsia" w:asciiTheme="minorEastAsia" w:hAnsiTheme="minorEastAsia" w:eastAsiaTheme="minorEastAsia" w:cstheme="minorEastAsia"/>
                <w:sz w:val="21"/>
                <w:szCs w:val="21"/>
                <w:lang w:eastAsia="zh-CN"/>
              </w:rPr>
            </w:pPr>
          </w:p>
          <w:p>
            <w:pPr>
              <w:spacing w:line="240" w:lineRule="auto"/>
              <w:ind w:firstLine="210" w:firstLineChars="100"/>
              <w:jc w:val="both"/>
              <w:rPr>
                <w:rFonts w:hint="eastAsia" w:asciiTheme="minorEastAsia" w:hAnsiTheme="minorEastAsia" w:eastAsiaTheme="minorEastAsia" w:cstheme="minorEastAsia"/>
                <w:sz w:val="21"/>
                <w:szCs w:val="21"/>
                <w:lang w:eastAsia="zh-CN"/>
              </w:rPr>
            </w:pPr>
          </w:p>
          <w:p>
            <w:pPr>
              <w:spacing w:line="240" w:lineRule="auto"/>
              <w:ind w:firstLine="210" w:firstLineChars="100"/>
              <w:jc w:val="both"/>
              <w:rPr>
                <w:rFonts w:hint="eastAsia" w:asciiTheme="minorEastAsia" w:hAnsiTheme="minorEastAsia" w:eastAsiaTheme="minorEastAsia" w:cstheme="minorEastAsia"/>
                <w:sz w:val="21"/>
                <w:szCs w:val="21"/>
                <w:lang w:eastAsia="zh-CN"/>
              </w:rPr>
            </w:pPr>
          </w:p>
          <w:p>
            <w:pPr>
              <w:spacing w:line="240" w:lineRule="auto"/>
              <w:ind w:firstLine="210" w:firstLineChars="100"/>
              <w:jc w:val="both"/>
              <w:rPr>
                <w:rFonts w:hint="eastAsia" w:asciiTheme="minorEastAsia" w:hAnsiTheme="minorEastAsia" w:eastAsiaTheme="minorEastAsia" w:cstheme="minorEastAsia"/>
                <w:sz w:val="21"/>
                <w:szCs w:val="21"/>
              </w:rPr>
            </w:pPr>
          </w:p>
          <w:p>
            <w:pPr>
              <w:spacing w:line="240" w:lineRule="auto"/>
              <w:ind w:firstLine="210" w:firstLineChars="100"/>
              <w:jc w:val="both"/>
              <w:rPr>
                <w:rFonts w:hint="eastAsia" w:asciiTheme="minorEastAsia" w:hAnsiTheme="minorEastAsia" w:eastAsiaTheme="minorEastAsia" w:cstheme="minorEastAsia"/>
                <w:sz w:val="21"/>
                <w:szCs w:val="21"/>
              </w:rPr>
            </w:pPr>
          </w:p>
          <w:p>
            <w:pPr>
              <w:spacing w:line="240" w:lineRule="auto"/>
              <w:ind w:firstLine="210" w:firstLineChars="100"/>
              <w:jc w:val="both"/>
              <w:rPr>
                <w:rFonts w:hint="eastAsia" w:asciiTheme="minorEastAsia" w:hAnsiTheme="minorEastAsia" w:eastAsiaTheme="minorEastAsia" w:cstheme="minorEastAsia"/>
                <w:sz w:val="21"/>
                <w:szCs w:val="21"/>
              </w:rPr>
            </w:pPr>
          </w:p>
          <w:p>
            <w:pPr>
              <w:numPr>
                <w:ilvl w:val="0"/>
                <w:numId w:val="5"/>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检验</w:t>
            </w:r>
            <w:r>
              <w:rPr>
                <w:rFonts w:hint="eastAsia" w:asciiTheme="minorEastAsia" w:hAnsiTheme="minorEastAsia" w:eastAsiaTheme="minorEastAsia" w:cstheme="minorEastAsia"/>
                <w:color w:val="auto"/>
                <w:sz w:val="21"/>
                <w:szCs w:val="21"/>
                <w:lang w:eastAsia="zh-CN"/>
              </w:rPr>
              <w:t>项目</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 xml:space="preserve">                      </w:t>
            </w:r>
          </w:p>
          <w:p>
            <w:pPr>
              <w:numPr>
                <w:ilvl w:val="0"/>
                <w:numId w:val="0"/>
              </w:numPr>
              <w:ind w:leftChars="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验证结论：</w:t>
            </w:r>
            <w:r>
              <w:rPr>
                <w:rFonts w:hint="eastAsia" w:asciiTheme="minorEastAsia" w:hAnsiTheme="minorEastAsia" w:eastAsiaTheme="minorEastAsia" w:cstheme="minorEastAsia"/>
                <w:color w:val="auto"/>
                <w:sz w:val="21"/>
                <w:szCs w:val="21"/>
                <w:lang w:eastAsia="zh-CN"/>
              </w:rPr>
              <w:t>针对输入要求的各项试验内容都满足客户要求，合格</w:t>
            </w:r>
          </w:p>
          <w:p>
            <w:pPr>
              <w:numPr>
                <w:ilvl w:val="0"/>
                <w:numId w:val="0"/>
              </w:numPr>
              <w:ind w:leftChars="0"/>
              <w:rPr>
                <w:rFonts w:hint="eastAsia" w:asciiTheme="minorEastAsia" w:hAnsiTheme="minorEastAsia" w:eastAsiaTheme="minorEastAsia" w:cstheme="minorEastAsia"/>
                <w:color w:val="auto"/>
                <w:sz w:val="21"/>
                <w:szCs w:val="21"/>
                <w:lang w:eastAsia="zh-CN"/>
              </w:rPr>
            </w:pPr>
          </w:p>
          <w:p>
            <w:pPr>
              <w:numPr>
                <w:ilvl w:val="0"/>
                <w:numId w:val="0"/>
              </w:numPr>
              <w:spacing w:line="360" w:lineRule="auto"/>
              <w:ind w:leftChars="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再抽查20</w:t>
            </w:r>
            <w:r>
              <w:rPr>
                <w:rFonts w:hint="eastAsia" w:asciiTheme="minorEastAsia" w:hAnsiTheme="minorEastAsia" w:eastAsiaTheme="minorEastAsia" w:cstheme="minorEastAsia"/>
                <w:sz w:val="21"/>
                <w:szCs w:val="21"/>
                <w:lang w:val="en-US" w:eastAsia="zh-CN"/>
              </w:rPr>
              <w:t>21.6.18</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滤油机</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val="0"/>
                <w:bCs w:val="0"/>
                <w:sz w:val="21"/>
                <w:szCs w:val="21"/>
              </w:rPr>
              <w:t>设计开发验证报告</w:t>
            </w:r>
            <w:r>
              <w:rPr>
                <w:rFonts w:hint="eastAsia" w:asciiTheme="minorEastAsia" w:hAnsiTheme="minorEastAsia" w:eastAsiaTheme="minorEastAsia" w:cstheme="minorEastAsia"/>
                <w:sz w:val="21"/>
                <w:szCs w:val="21"/>
              </w:rPr>
              <w:t>》，对各项技术性能和功能进行验证能达到设计输入要求。</w:t>
            </w:r>
            <w:r>
              <w:rPr>
                <w:rFonts w:hint="eastAsia" w:asciiTheme="minorEastAsia" w:hAnsiTheme="minorEastAsia" w:eastAsiaTheme="minorEastAsia" w:cstheme="minorEastAsia"/>
                <w:color w:val="auto"/>
                <w:sz w:val="21"/>
                <w:szCs w:val="21"/>
                <w:lang w:val="en-US" w:eastAsia="zh-CN"/>
              </w:rPr>
              <w:t>验证结论：</w:t>
            </w:r>
            <w:r>
              <w:rPr>
                <w:rFonts w:hint="eastAsia" w:asciiTheme="minorEastAsia" w:hAnsiTheme="minorEastAsia" w:eastAsiaTheme="minorEastAsia" w:cstheme="minorEastAsia"/>
                <w:color w:val="auto"/>
                <w:sz w:val="21"/>
                <w:szCs w:val="21"/>
                <w:lang w:eastAsia="zh-CN"/>
              </w:rPr>
              <w:t>针对输入要求的各项试验内容都满足客户要求，合格</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三、设计开发确认，</w:t>
            </w:r>
          </w:p>
          <w:p>
            <w:pPr>
              <w:numPr>
                <w:ilvl w:val="0"/>
                <w:numId w:val="0"/>
              </w:numPr>
              <w:spacing w:line="360" w:lineRule="auto"/>
              <w:ind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查产品设计和开发确认，提供了</w:t>
            </w:r>
            <w:r>
              <w:rPr>
                <w:rFonts w:hint="eastAsia" w:asciiTheme="minorEastAsia" w:hAnsiTheme="minorEastAsia" w:eastAsiaTheme="minorEastAsia" w:cstheme="minorEastAsia"/>
                <w:sz w:val="21"/>
                <w:szCs w:val="21"/>
                <w:lang w:val="en-US" w:eastAsia="zh-CN"/>
              </w:rPr>
              <w:t>稀油站</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val="0"/>
                <w:bCs/>
                <w:sz w:val="21"/>
                <w:szCs w:val="21"/>
              </w:rPr>
              <w:t>设计开发确认报告</w:t>
            </w:r>
            <w:r>
              <w:rPr>
                <w:rFonts w:hint="eastAsia" w:asciiTheme="minorEastAsia" w:hAnsiTheme="minorEastAsia" w:eastAsiaTheme="minorEastAsia" w:cstheme="minorEastAsia"/>
                <w:sz w:val="21"/>
                <w:szCs w:val="21"/>
              </w:rPr>
              <w:t>》</w:t>
            </w:r>
          </w:p>
          <w:p>
            <w:pPr>
              <w:numPr>
                <w:ilvl w:val="0"/>
                <w:numId w:val="0"/>
              </w:numPr>
              <w:spacing w:line="360" w:lineRule="auto"/>
              <w:ind w:right="0" w:rightChars="0"/>
              <w:jc w:val="left"/>
              <w:rPr>
                <w:rFonts w:hint="eastAsia" w:asciiTheme="minorEastAsia" w:hAnsiTheme="minorEastAsia" w:eastAsiaTheme="minorEastAsia" w:cstheme="minorEastAsia"/>
                <w:sz w:val="21"/>
                <w:szCs w:val="21"/>
              </w:rPr>
            </w:pPr>
          </w:p>
          <w:p>
            <w:pPr>
              <w:numPr>
                <w:ilvl w:val="0"/>
                <w:numId w:val="0"/>
              </w:numPr>
              <w:spacing w:line="360" w:lineRule="auto"/>
              <w:ind w:right="0" w:rightChars="0"/>
              <w:jc w:val="left"/>
              <w:rPr>
                <w:rFonts w:hint="eastAsia" w:asciiTheme="minorEastAsia" w:hAnsiTheme="minorEastAsia" w:eastAsiaTheme="minorEastAsia" w:cstheme="minorEastAsia"/>
                <w:sz w:val="21"/>
                <w:szCs w:val="21"/>
              </w:rPr>
            </w:pPr>
          </w:p>
          <w:p>
            <w:pPr>
              <w:numPr>
                <w:ilvl w:val="0"/>
                <w:numId w:val="0"/>
              </w:numPr>
              <w:spacing w:line="360" w:lineRule="auto"/>
              <w:ind w:right="0" w:rightChars="0"/>
              <w:jc w:val="left"/>
              <w:rPr>
                <w:rFonts w:hint="eastAsia" w:asciiTheme="minorEastAsia" w:hAnsiTheme="minorEastAsia" w:eastAsiaTheme="minorEastAsia" w:cstheme="minorEastAsia"/>
                <w:sz w:val="21"/>
                <w:szCs w:val="21"/>
              </w:rPr>
            </w:pPr>
            <w:r>
              <w:drawing>
                <wp:anchor distT="0" distB="0" distL="114300" distR="114300" simplePos="0" relativeHeight="251665408" behindDoc="0" locked="0" layoutInCell="1" allowOverlap="1">
                  <wp:simplePos x="0" y="0"/>
                  <wp:positionH relativeFrom="column">
                    <wp:posOffset>1054100</wp:posOffset>
                  </wp:positionH>
                  <wp:positionV relativeFrom="paragraph">
                    <wp:posOffset>60325</wp:posOffset>
                  </wp:positionV>
                  <wp:extent cx="2073910" cy="2604770"/>
                  <wp:effectExtent l="0" t="0" r="8890" b="11430"/>
                  <wp:wrapNone/>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0"/>
                          <a:stretch>
                            <a:fillRect/>
                          </a:stretch>
                        </pic:blipFill>
                        <pic:spPr>
                          <a:xfrm>
                            <a:off x="0" y="0"/>
                            <a:ext cx="2073910" cy="2604770"/>
                          </a:xfrm>
                          <a:prstGeom prst="rect">
                            <a:avLst/>
                          </a:prstGeom>
                          <a:noFill/>
                          <a:ln>
                            <a:noFill/>
                          </a:ln>
                        </pic:spPr>
                      </pic:pic>
                    </a:graphicData>
                  </a:graphic>
                </wp:anchor>
              </w:drawing>
            </w:r>
          </w:p>
          <w:p>
            <w:pPr>
              <w:numPr>
                <w:ilvl w:val="0"/>
                <w:numId w:val="0"/>
              </w:numPr>
              <w:spacing w:line="360" w:lineRule="auto"/>
              <w:ind w:right="0" w:rightChars="0"/>
              <w:jc w:val="left"/>
              <w:rPr>
                <w:rFonts w:hint="eastAsia" w:asciiTheme="minorEastAsia" w:hAnsiTheme="minorEastAsia" w:eastAsiaTheme="minorEastAsia" w:cstheme="minorEastAsia"/>
                <w:sz w:val="21"/>
                <w:szCs w:val="21"/>
              </w:rPr>
            </w:pPr>
          </w:p>
          <w:p>
            <w:pPr>
              <w:numPr>
                <w:ilvl w:val="0"/>
                <w:numId w:val="0"/>
              </w:numPr>
              <w:spacing w:line="360" w:lineRule="auto"/>
              <w:ind w:right="0" w:rightChars="0"/>
              <w:jc w:val="left"/>
              <w:rPr>
                <w:rFonts w:hint="eastAsia" w:asciiTheme="minorEastAsia" w:hAnsiTheme="minorEastAsia" w:eastAsiaTheme="minorEastAsia" w:cstheme="minorEastAsia"/>
                <w:sz w:val="21"/>
                <w:szCs w:val="21"/>
              </w:rPr>
            </w:pPr>
          </w:p>
          <w:p>
            <w:pPr>
              <w:numPr>
                <w:ilvl w:val="0"/>
                <w:numId w:val="0"/>
              </w:numPr>
              <w:spacing w:line="360" w:lineRule="auto"/>
              <w:ind w:right="0" w:rightChars="0"/>
              <w:jc w:val="left"/>
              <w:rPr>
                <w:rFonts w:hint="eastAsia" w:asciiTheme="minorEastAsia" w:hAnsiTheme="minorEastAsia" w:eastAsiaTheme="minorEastAsia" w:cstheme="minorEastAsia"/>
                <w:sz w:val="21"/>
                <w:szCs w:val="21"/>
              </w:rPr>
            </w:pPr>
          </w:p>
          <w:p>
            <w:pPr>
              <w:numPr>
                <w:ilvl w:val="0"/>
                <w:numId w:val="0"/>
              </w:numPr>
              <w:spacing w:line="360" w:lineRule="auto"/>
              <w:ind w:right="0" w:rightChars="0"/>
              <w:jc w:val="left"/>
              <w:rPr>
                <w:rFonts w:hint="eastAsia" w:asciiTheme="minorEastAsia" w:hAnsiTheme="minorEastAsia" w:eastAsiaTheme="minorEastAsia" w:cstheme="minorEastAsia"/>
                <w:sz w:val="21"/>
                <w:szCs w:val="21"/>
              </w:rPr>
            </w:pPr>
          </w:p>
          <w:p>
            <w:pPr>
              <w:numPr>
                <w:ilvl w:val="0"/>
                <w:numId w:val="0"/>
              </w:numPr>
              <w:spacing w:line="360" w:lineRule="auto"/>
              <w:ind w:right="0" w:rightChars="0"/>
              <w:jc w:val="left"/>
              <w:rPr>
                <w:rFonts w:hint="eastAsia" w:asciiTheme="minorEastAsia" w:hAnsiTheme="minorEastAsia" w:eastAsiaTheme="minorEastAsia" w:cstheme="minorEastAsia"/>
                <w:sz w:val="21"/>
                <w:szCs w:val="21"/>
              </w:rPr>
            </w:pPr>
          </w:p>
          <w:p>
            <w:pPr>
              <w:numPr>
                <w:ilvl w:val="0"/>
                <w:numId w:val="0"/>
              </w:numPr>
              <w:spacing w:line="360" w:lineRule="auto"/>
              <w:ind w:right="0" w:rightChars="0"/>
              <w:jc w:val="left"/>
              <w:rPr>
                <w:rFonts w:hint="eastAsia" w:asciiTheme="minorEastAsia" w:hAnsiTheme="minorEastAsia" w:eastAsiaTheme="minorEastAsia" w:cstheme="minorEastAsia"/>
                <w:sz w:val="21"/>
                <w:szCs w:val="21"/>
              </w:rPr>
            </w:pPr>
          </w:p>
          <w:p>
            <w:pPr>
              <w:numPr>
                <w:ilvl w:val="0"/>
                <w:numId w:val="0"/>
              </w:numPr>
              <w:spacing w:line="360" w:lineRule="auto"/>
              <w:ind w:right="0" w:rightChars="0"/>
              <w:jc w:val="left"/>
              <w:rPr>
                <w:rFonts w:hint="eastAsia" w:asciiTheme="minorEastAsia" w:hAnsiTheme="minorEastAsia" w:eastAsiaTheme="minorEastAsia" w:cstheme="minorEastAsia"/>
                <w:sz w:val="21"/>
                <w:szCs w:val="21"/>
              </w:rPr>
            </w:pPr>
          </w:p>
          <w:p>
            <w:pPr>
              <w:numPr>
                <w:ilvl w:val="0"/>
                <w:numId w:val="0"/>
              </w:numPr>
              <w:spacing w:line="360" w:lineRule="auto"/>
              <w:ind w:right="0" w:rightChars="0"/>
              <w:jc w:val="left"/>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确认人：</w:t>
            </w:r>
            <w:r>
              <w:rPr>
                <w:rFonts w:hint="eastAsia" w:asciiTheme="minorEastAsia" w:hAnsiTheme="minorEastAsia" w:eastAsiaTheme="minorEastAsia" w:cstheme="minorEastAsia"/>
                <w:sz w:val="21"/>
                <w:szCs w:val="21"/>
                <w:lang w:val="en-US" w:eastAsia="zh-CN"/>
              </w:rPr>
              <w:t>段辉、王佳春</w:t>
            </w:r>
            <w:r>
              <w:rPr>
                <w:rFonts w:hint="eastAsia" w:asciiTheme="minorEastAsia" w:hAnsiTheme="minorEastAsia" w:eastAsiaTheme="minorEastAsia" w:cstheme="minorEastAsia"/>
                <w:sz w:val="21"/>
                <w:szCs w:val="21"/>
              </w:rPr>
              <w:t>，批准</w:t>
            </w:r>
            <w:r>
              <w:rPr>
                <w:rFonts w:hint="eastAsia" w:asciiTheme="minorEastAsia" w:hAnsiTheme="minorEastAsia" w:eastAsiaTheme="minorEastAsia" w:cstheme="minorEastAsia"/>
                <w:sz w:val="21"/>
                <w:szCs w:val="21"/>
                <w:lang w:val="en-US" w:eastAsia="zh-CN"/>
              </w:rPr>
              <w:t>李永双</w:t>
            </w:r>
            <w:r>
              <w:rPr>
                <w:rFonts w:hint="eastAsia" w:asciiTheme="minorEastAsia" w:hAnsiTheme="minorEastAsia" w:eastAsiaTheme="minorEastAsia" w:cstheme="minorEastAsia"/>
                <w:sz w:val="21"/>
                <w:szCs w:val="21"/>
              </w:rPr>
              <w:t>，确认日期20</w:t>
            </w:r>
            <w:r>
              <w:rPr>
                <w:rFonts w:hint="eastAsia" w:asciiTheme="minorEastAsia" w:hAnsiTheme="minorEastAsia" w:eastAsiaTheme="minorEastAsia" w:cstheme="minorEastAsia"/>
                <w:sz w:val="21"/>
                <w:szCs w:val="21"/>
                <w:lang w:val="en-US" w:eastAsia="zh-CN"/>
              </w:rPr>
              <w:t>21.6.28</w:t>
            </w:r>
            <w:r>
              <w:rPr>
                <w:rFonts w:hint="eastAsia" w:asciiTheme="minorEastAsia" w:hAnsiTheme="minorEastAsia" w:eastAsiaTheme="minorEastAsia" w:cstheme="minorEastAsia"/>
                <w:sz w:val="21"/>
                <w:szCs w:val="21"/>
              </w:rPr>
              <w:t>日。</w:t>
            </w:r>
          </w:p>
          <w:p>
            <w:pPr>
              <w:spacing w:line="360" w:lineRule="auto"/>
              <w:ind w:firstLine="420" w:firstLineChars="200"/>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另外查</w:t>
            </w:r>
            <w:r>
              <w:rPr>
                <w:rFonts w:hint="eastAsia" w:asciiTheme="minorEastAsia" w:hAnsiTheme="minorEastAsia" w:eastAsiaTheme="minorEastAsia" w:cstheme="minorEastAsia"/>
                <w:sz w:val="21"/>
                <w:szCs w:val="21"/>
                <w:lang w:val="en-US" w:eastAsia="zh-CN"/>
              </w:rPr>
              <w:t>滤油机</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val="0"/>
                <w:bCs/>
                <w:sz w:val="21"/>
                <w:szCs w:val="21"/>
              </w:rPr>
              <w:t>设计开发确认报告</w:t>
            </w:r>
            <w:r>
              <w:rPr>
                <w:rFonts w:hint="eastAsia" w:asciiTheme="minorEastAsia" w:hAnsiTheme="minorEastAsia" w:eastAsiaTheme="minorEastAsia" w:cstheme="minorEastAsia"/>
                <w:sz w:val="21"/>
                <w:szCs w:val="21"/>
              </w:rPr>
              <w:t>》，各项技术指标均达到要求，情况基本同上。</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从接收客户要求，到产品设计，产品质量、性能都很好，已全部达到甚至超越了客户的各项要求，设计开发成功。</w:t>
            </w:r>
          </w:p>
        </w:tc>
        <w:tc>
          <w:tcPr>
            <w:tcW w:w="81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809" w:type="dxa"/>
            <w:vMerge w:val="continue"/>
            <w:vAlign w:val="center"/>
          </w:tcPr>
          <w:p>
            <w:pPr>
              <w:spacing w:line="360" w:lineRule="auto"/>
              <w:rPr>
                <w:rFonts w:hint="eastAsia" w:asciiTheme="minorEastAsia" w:hAnsiTheme="minorEastAsia" w:eastAsiaTheme="minorEastAsia" w:cstheme="minorEastAsia"/>
                <w:spacing w:val="-10"/>
                <w:sz w:val="21"/>
                <w:szCs w:val="21"/>
              </w:rPr>
            </w:pPr>
          </w:p>
        </w:tc>
        <w:tc>
          <w:tcPr>
            <w:tcW w:w="1311" w:type="dxa"/>
          </w:tcPr>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Q8.3.5设计和开发输出</w:t>
            </w:r>
          </w:p>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Q8.5.1设计服务过程控制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Q8.6产品放行</w:t>
            </w:r>
          </w:p>
        </w:tc>
        <w:tc>
          <w:tcPr>
            <w:tcW w:w="10770" w:type="dxa"/>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查设计和开发的输出：</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w:t>
            </w:r>
            <w:r>
              <w:rPr>
                <w:rFonts w:hint="eastAsia" w:asciiTheme="minorEastAsia" w:hAnsiTheme="minorEastAsia" w:eastAsiaTheme="minorEastAsia" w:cstheme="minorEastAsia"/>
                <w:sz w:val="21"/>
                <w:szCs w:val="21"/>
                <w:lang w:val="en-US" w:eastAsia="zh-CN"/>
              </w:rPr>
              <w:t>稀油站</w:t>
            </w:r>
            <w:r>
              <w:rPr>
                <w:rFonts w:hint="eastAsia" w:asciiTheme="minorEastAsia" w:hAnsiTheme="minorEastAsia" w:eastAsiaTheme="minorEastAsia" w:cstheme="minorEastAsia"/>
                <w:sz w:val="21"/>
                <w:szCs w:val="21"/>
              </w:rPr>
              <w:t>的《设计开发输出清单》，本次设计开发输出主要有依据的标准、法律法规及技术协议，</w:t>
            </w:r>
            <w:r>
              <w:rPr>
                <w:rFonts w:hint="eastAsia" w:asciiTheme="minorEastAsia" w:hAnsiTheme="minorEastAsia" w:eastAsiaTheme="minorEastAsia" w:cstheme="minorEastAsia"/>
                <w:sz w:val="21"/>
                <w:szCs w:val="21"/>
                <w:lang w:val="en-US" w:eastAsia="zh-CN"/>
              </w:rPr>
              <w:t>设计方案，计算书</w:t>
            </w:r>
            <w:r>
              <w:rPr>
                <w:rFonts w:hint="eastAsia" w:asciiTheme="minorEastAsia" w:hAnsiTheme="minorEastAsia" w:eastAsiaTheme="minorEastAsia" w:cstheme="minorEastAsia"/>
                <w:sz w:val="21"/>
                <w:szCs w:val="21"/>
              </w:rPr>
              <w:t>，产品图纸，产品工艺文件、材料采购清单、产品操作手册、施工图等。20</w:t>
            </w:r>
            <w:r>
              <w:rPr>
                <w:rFonts w:hint="eastAsia" w:asciiTheme="minorEastAsia" w:hAnsiTheme="minorEastAsia" w:eastAsiaTheme="minorEastAsia" w:cstheme="minorEastAsia"/>
                <w:sz w:val="21"/>
                <w:szCs w:val="21"/>
                <w:lang w:val="en-US" w:eastAsia="zh-CN"/>
              </w:rPr>
              <w:t>21.6.5</w:t>
            </w:r>
            <w:r>
              <w:rPr>
                <w:rFonts w:hint="eastAsia" w:asciiTheme="minorEastAsia" w:hAnsiTheme="minorEastAsia" w:eastAsiaTheme="minorEastAsia" w:cstheme="minorEastAsia"/>
                <w:sz w:val="21"/>
                <w:szCs w:val="21"/>
              </w:rPr>
              <w:t>日对设计开发输出进行了评审，评审结论：设计输出能满足设计输入的要求并能有效指导施工安装。评审人员：</w:t>
            </w:r>
            <w:r>
              <w:rPr>
                <w:rFonts w:hint="eastAsia" w:asciiTheme="minorEastAsia" w:hAnsiTheme="minorEastAsia" w:eastAsiaTheme="minorEastAsia" w:cstheme="minorEastAsia"/>
                <w:sz w:val="21"/>
                <w:szCs w:val="21"/>
                <w:lang w:eastAsia="zh-CN"/>
              </w:rPr>
              <w:t>刘星海、李永双、王佳春、</w:t>
            </w:r>
            <w:r>
              <w:rPr>
                <w:rFonts w:hint="eastAsia" w:asciiTheme="minorEastAsia" w:hAnsiTheme="minorEastAsia" w:eastAsiaTheme="minorEastAsia" w:cstheme="minorEastAsia"/>
                <w:sz w:val="21"/>
                <w:szCs w:val="21"/>
                <w:lang w:val="en-US" w:eastAsia="zh-CN"/>
              </w:rPr>
              <w:t>段辉、张磊、兰晓敏、</w:t>
            </w:r>
            <w:r>
              <w:rPr>
                <w:rFonts w:hint="eastAsia" w:asciiTheme="minorEastAsia" w:hAnsiTheme="minorEastAsia" w:eastAsiaTheme="minorEastAsia" w:cstheme="minorEastAsia"/>
                <w:sz w:val="21"/>
                <w:szCs w:val="21"/>
                <w:lang w:eastAsia="zh-CN"/>
              </w:rPr>
              <w:t>李树东、</w:t>
            </w:r>
            <w:r>
              <w:rPr>
                <w:rFonts w:hint="eastAsia" w:asciiTheme="minorEastAsia" w:hAnsiTheme="minorEastAsia" w:eastAsiaTheme="minorEastAsia" w:cstheme="minorEastAsia"/>
                <w:sz w:val="21"/>
                <w:szCs w:val="21"/>
                <w:lang w:val="en-US" w:eastAsia="zh-CN"/>
              </w:rPr>
              <w:t>杨树祥</w:t>
            </w:r>
            <w:r>
              <w:rPr>
                <w:rFonts w:hint="eastAsia" w:asciiTheme="minorEastAsia" w:hAnsiTheme="minorEastAsia" w:eastAsiaTheme="minorEastAsia" w:cstheme="minorEastAsia"/>
                <w:sz w:val="21"/>
                <w:szCs w:val="21"/>
              </w:rPr>
              <w:t>。</w:t>
            </w:r>
          </w:p>
          <w:p>
            <w:pPr>
              <w:spacing w:line="360" w:lineRule="auto"/>
              <w:ind w:firstLine="420" w:firstLineChars="200"/>
              <w:rPr>
                <w:rFonts w:hint="eastAsia" w:asciiTheme="minorEastAsia" w:hAnsiTheme="minorEastAsia" w:eastAsiaTheme="minorEastAsia" w:cstheme="minorEastAsia"/>
                <w:sz w:val="21"/>
                <w:szCs w:val="21"/>
              </w:rPr>
            </w:pPr>
            <w:r>
              <w:drawing>
                <wp:anchor distT="0" distB="0" distL="114300" distR="114300" simplePos="0" relativeHeight="251666432" behindDoc="0" locked="0" layoutInCell="1" allowOverlap="1">
                  <wp:simplePos x="0" y="0"/>
                  <wp:positionH relativeFrom="column">
                    <wp:posOffset>1085850</wp:posOffset>
                  </wp:positionH>
                  <wp:positionV relativeFrom="paragraph">
                    <wp:posOffset>45085</wp:posOffset>
                  </wp:positionV>
                  <wp:extent cx="2019935" cy="2534920"/>
                  <wp:effectExtent l="0" t="0" r="12065" b="5080"/>
                  <wp:wrapNone/>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1"/>
                          <a:stretch>
                            <a:fillRect/>
                          </a:stretch>
                        </pic:blipFill>
                        <pic:spPr>
                          <a:xfrm>
                            <a:off x="0" y="0"/>
                            <a:ext cx="2019935" cy="2534920"/>
                          </a:xfrm>
                          <a:prstGeom prst="rect">
                            <a:avLst/>
                          </a:prstGeom>
                          <a:noFill/>
                          <a:ln>
                            <a:noFill/>
                          </a:ln>
                        </pic:spPr>
                      </pic:pic>
                    </a:graphicData>
                  </a:graphic>
                </wp:anchor>
              </w:drawing>
            </w: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再抽查20</w:t>
            </w:r>
            <w:r>
              <w:rPr>
                <w:rFonts w:hint="eastAsia" w:asciiTheme="minorEastAsia" w:hAnsiTheme="minorEastAsia" w:eastAsiaTheme="minorEastAsia" w:cstheme="minorEastAsia"/>
                <w:sz w:val="21"/>
                <w:szCs w:val="21"/>
                <w:lang w:val="en-US" w:eastAsia="zh-CN"/>
              </w:rPr>
              <w:t>20.5.30</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滤油机</w:t>
            </w:r>
            <w:r>
              <w:rPr>
                <w:rFonts w:hint="eastAsia" w:asciiTheme="minorEastAsia" w:hAnsiTheme="minorEastAsia" w:eastAsiaTheme="minorEastAsia" w:cstheme="minorEastAsia"/>
                <w:sz w:val="21"/>
                <w:szCs w:val="21"/>
              </w:rPr>
              <w:t>的《设计开发输出清单》，输出主要是</w:t>
            </w:r>
            <w:r>
              <w:rPr>
                <w:rFonts w:hint="eastAsia" w:asciiTheme="minorEastAsia" w:hAnsiTheme="minorEastAsia" w:eastAsiaTheme="minorEastAsia" w:cstheme="minorEastAsia"/>
                <w:sz w:val="21"/>
                <w:szCs w:val="21"/>
                <w:lang w:val="en-US" w:eastAsia="zh-CN"/>
              </w:rPr>
              <w:t>设计方案，计算书</w:t>
            </w:r>
            <w:r>
              <w:rPr>
                <w:rFonts w:hint="eastAsia" w:asciiTheme="minorEastAsia" w:hAnsiTheme="minorEastAsia" w:eastAsiaTheme="minorEastAsia" w:cstheme="minorEastAsia"/>
                <w:sz w:val="21"/>
                <w:szCs w:val="21"/>
              </w:rPr>
              <w:t>，产品图纸，产品工艺文件、材料采购清单、产品操作手册、施工图也进行了评审，设计输出能满足设计输入的要求。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设计和开发的输出管理符合规定的要求。</w:t>
            </w:r>
          </w:p>
        </w:tc>
        <w:tc>
          <w:tcPr>
            <w:tcW w:w="81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809" w:type="dxa"/>
            <w:vMerge w:val="continue"/>
            <w:vAlign w:val="center"/>
          </w:tcPr>
          <w:p>
            <w:pPr>
              <w:spacing w:line="360" w:lineRule="auto"/>
              <w:rPr>
                <w:rFonts w:hint="eastAsia" w:asciiTheme="minorEastAsia" w:hAnsiTheme="minorEastAsia" w:eastAsiaTheme="minorEastAsia" w:cstheme="minorEastAsia"/>
                <w:spacing w:val="-10"/>
                <w:sz w:val="21"/>
                <w:szCs w:val="21"/>
              </w:rPr>
            </w:pPr>
          </w:p>
        </w:tc>
        <w:tc>
          <w:tcPr>
            <w:tcW w:w="1311" w:type="dxa"/>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Q8.3.6设计和开发更改</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Q8.5.1设计服务过程控制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Q8.5.6设计服务提供的更改控制</w:t>
            </w:r>
          </w:p>
        </w:tc>
        <w:tc>
          <w:tcPr>
            <w:tcW w:w="10770" w:type="dxa"/>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设计开发更改应进行评审、验证、确认、批准，经查组织按顾客技术要求研发，暂未发生设计更改情况。研发过程发现的</w:t>
            </w:r>
            <w:r>
              <w:rPr>
                <w:rFonts w:hint="eastAsia" w:asciiTheme="minorEastAsia" w:hAnsiTheme="minorEastAsia" w:eastAsiaTheme="minorEastAsia" w:cstheme="minorEastAsia"/>
                <w:sz w:val="21"/>
                <w:szCs w:val="21"/>
                <w:lang w:val="en-US" w:eastAsia="zh-CN"/>
              </w:rPr>
              <w:t>问题</w:t>
            </w:r>
            <w:r>
              <w:rPr>
                <w:rFonts w:hint="eastAsia" w:asciiTheme="minorEastAsia" w:hAnsiTheme="minorEastAsia" w:eastAsiaTheme="minorEastAsia" w:cstheme="minorEastAsia"/>
                <w:sz w:val="21"/>
                <w:szCs w:val="21"/>
              </w:rPr>
              <w:t>已及时进行了修正，修正后结果能满足技术要求。</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以上设计开发的产品是公司的主要（占大多数）产品，其他产品的设计开发与上述基本相同。</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组织的设计开发控制基本符合规定的要求。</w:t>
            </w:r>
          </w:p>
          <w:p>
            <w:pPr>
              <w:spacing w:line="360" w:lineRule="auto"/>
              <w:ind w:firstLine="420" w:firstLineChars="200"/>
              <w:rPr>
                <w:rFonts w:hint="eastAsia" w:asciiTheme="minorEastAsia" w:hAnsiTheme="minorEastAsia" w:eastAsiaTheme="minorEastAsia" w:cstheme="minorEastAsia"/>
                <w:sz w:val="21"/>
                <w:szCs w:val="21"/>
                <w:lang w:val="en-US" w:eastAsia="zh-CN"/>
              </w:rPr>
            </w:pPr>
          </w:p>
        </w:tc>
        <w:tc>
          <w:tcPr>
            <w:tcW w:w="81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809"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开发过程的控制</w:t>
            </w:r>
          </w:p>
          <w:p>
            <w:pPr>
              <w:spacing w:line="360" w:lineRule="auto"/>
              <w:rPr>
                <w:rFonts w:hint="eastAsia" w:asciiTheme="minorEastAsia" w:hAnsiTheme="minorEastAsia" w:eastAsiaTheme="minorEastAsia" w:cstheme="minorEastAsia"/>
                <w:spacing w:val="-10"/>
                <w:sz w:val="21"/>
                <w:szCs w:val="21"/>
              </w:rPr>
            </w:pPr>
          </w:p>
        </w:tc>
        <w:tc>
          <w:tcPr>
            <w:tcW w:w="1311" w:type="dxa"/>
          </w:tcPr>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Q8.5.1</w:t>
            </w: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现场观察</w:t>
            </w:r>
          </w:p>
          <w:p>
            <w:pPr>
              <w:spacing w:line="360" w:lineRule="auto"/>
              <w:rPr>
                <w:rFonts w:hint="eastAsia" w:asciiTheme="minorEastAsia" w:hAnsiTheme="minorEastAsia" w:eastAsiaTheme="minorEastAsia" w:cstheme="minorEastAsia"/>
                <w:sz w:val="21"/>
                <w:szCs w:val="21"/>
              </w:rPr>
            </w:pPr>
          </w:p>
        </w:tc>
        <w:tc>
          <w:tcPr>
            <w:tcW w:w="10770" w:type="dxa"/>
          </w:tcPr>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目前主要从事钻井泥浆无害化处理设备、水处理（清水、软化水、污水、含油污水）设备、全自动软化水装置、稀油站、滤油机、油田专用设备、过滤器、电磁加热设备和电磁加热三项分离装置、太阳能用具等设计开发</w:t>
            </w:r>
            <w:r>
              <w:rPr>
                <w:rFonts w:hint="eastAsia" w:asciiTheme="minorEastAsia" w:hAnsiTheme="minorEastAsia" w:eastAsiaTheme="minorEastAsia" w:cstheme="minorEastAsia"/>
                <w:sz w:val="21"/>
                <w:szCs w:val="21"/>
                <w:lang w:val="en-US" w:eastAsia="zh-CN"/>
              </w:rPr>
              <w:t>与技术服务</w:t>
            </w:r>
            <w:r>
              <w:rPr>
                <w:rFonts w:hint="eastAsia" w:asciiTheme="minorEastAsia" w:hAnsiTheme="minorEastAsia" w:eastAsiaTheme="minorEastAsia" w:cstheme="minorEastAsia"/>
                <w:sz w:val="21"/>
                <w:szCs w:val="21"/>
              </w:rPr>
              <w:t>。</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常依据客户技术要求和相关标准技术规范进行环保专用设备、石油钻采机械部件的生产、销售；钻井泥浆无害化处理设备、水处理（清水、软化水、污水、含油污水）设备、全自动软化水装置、稀油站、滤油机、油田专用设备、过滤器、</w:t>
            </w:r>
            <w:r>
              <w:rPr>
                <w:rFonts w:hint="eastAsia" w:asciiTheme="minorEastAsia" w:hAnsiTheme="minorEastAsia" w:eastAsiaTheme="minorEastAsia" w:cstheme="minorEastAsia"/>
                <w:sz w:val="21"/>
                <w:szCs w:val="21"/>
                <w:lang w:eastAsia="zh-CN"/>
              </w:rPr>
              <w:t>滤油机</w:t>
            </w:r>
            <w:r>
              <w:rPr>
                <w:rFonts w:hint="eastAsia" w:asciiTheme="minorEastAsia" w:hAnsiTheme="minorEastAsia" w:eastAsiaTheme="minorEastAsia" w:cstheme="minorEastAsia"/>
                <w:sz w:val="21"/>
                <w:szCs w:val="21"/>
              </w:rPr>
              <w:t>、太阳能用具设计开发</w:t>
            </w:r>
            <w:r>
              <w:rPr>
                <w:rFonts w:hint="eastAsia" w:asciiTheme="minorEastAsia" w:hAnsiTheme="minorEastAsia" w:eastAsiaTheme="minorEastAsia" w:cstheme="minorEastAsia"/>
                <w:sz w:val="21"/>
                <w:szCs w:val="21"/>
                <w:lang w:val="en-US" w:eastAsia="zh-CN"/>
              </w:rPr>
              <w:t>与服务</w:t>
            </w:r>
            <w:r>
              <w:rPr>
                <w:rFonts w:hint="eastAsia" w:asciiTheme="minorEastAsia" w:hAnsiTheme="minorEastAsia" w:eastAsiaTheme="minorEastAsia" w:cstheme="minorEastAsia"/>
                <w:sz w:val="21"/>
                <w:szCs w:val="21"/>
              </w:rPr>
              <w:t xml:space="preserve">， </w:t>
            </w:r>
          </w:p>
          <w:p>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val="0"/>
                <w:bCs/>
                <w:color w:val="auto"/>
                <w:sz w:val="21"/>
                <w:szCs w:val="21"/>
                <w:lang w:val="en-US" w:eastAsia="zh-CN"/>
              </w:rPr>
              <w:t>设计开发流程：经营部反馈信息---立项申请---编制设计开发任务书---设计开发输入评审---编制设计开发方案---设计开发输入评审---编制设计计算书---设计图纸---采购清单---设计计算书评审---设计开发输出评审---设计开发确认</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公司编制有《设计开发控制程序》、《电脑管理制度》、《档案管理制度》，可以指导并规范员工的实际操作。</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产品设计开发过程中使用的电脑及系统软件设计工具等设备能满足要求。公司目前现有一支专业的产品设计开发人员，全部是本科及研究生以上学历，可满足设计开发服务要求。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特殊过程是设计开发过程，提供特殊过程的《特殊过程确认单》，对设计开发过程进行了过程确认。参与确认的人员：</w:t>
            </w:r>
            <w:r>
              <w:rPr>
                <w:rFonts w:hint="eastAsia" w:asciiTheme="minorEastAsia" w:hAnsiTheme="minorEastAsia" w:eastAsiaTheme="minorEastAsia" w:cstheme="minorEastAsia"/>
                <w:sz w:val="21"/>
                <w:szCs w:val="21"/>
                <w:lang w:val="en-US" w:eastAsia="zh-CN"/>
              </w:rPr>
              <w:t>王佳春</w:t>
            </w:r>
            <w:r>
              <w:rPr>
                <w:rFonts w:hint="eastAsia" w:asciiTheme="minorEastAsia" w:hAnsiTheme="minorEastAsia" w:eastAsiaTheme="minorEastAsia" w:cstheme="minorEastAsia"/>
                <w:sz w:val="21"/>
                <w:szCs w:val="21"/>
              </w:rPr>
              <w:t>等，确认日期：20</w:t>
            </w:r>
            <w:r>
              <w:rPr>
                <w:rFonts w:hint="eastAsia" w:asciiTheme="minorEastAsia" w:hAnsiTheme="minorEastAsia" w:eastAsiaTheme="minorEastAsia" w:cstheme="minorEastAsia"/>
                <w:sz w:val="21"/>
                <w:szCs w:val="21"/>
                <w:lang w:val="en-US" w:eastAsia="zh-CN"/>
              </w:rPr>
              <w:t>21.1.10</w:t>
            </w:r>
            <w:r>
              <w:rPr>
                <w:rFonts w:hint="eastAsia" w:asciiTheme="minorEastAsia" w:hAnsiTheme="minorEastAsia" w:eastAsiaTheme="minorEastAsia" w:cstheme="minorEastAsia"/>
                <w:sz w:val="21"/>
                <w:szCs w:val="21"/>
              </w:rPr>
              <w:t>日。</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抽查到</w:t>
            </w:r>
            <w:r>
              <w:rPr>
                <w:rFonts w:hint="eastAsia" w:asciiTheme="minorEastAsia" w:hAnsiTheme="minorEastAsia" w:eastAsiaTheme="minorEastAsia" w:cstheme="minorEastAsia"/>
                <w:sz w:val="21"/>
                <w:szCs w:val="21"/>
                <w:lang w:val="en-US" w:eastAsia="zh-CN"/>
              </w:rPr>
              <w:t>稀油站</w:t>
            </w:r>
            <w:r>
              <w:rPr>
                <w:rFonts w:hint="eastAsia" w:asciiTheme="minorEastAsia" w:hAnsiTheme="minorEastAsia" w:eastAsiaTheme="minorEastAsia" w:cstheme="minorEastAsia"/>
                <w:sz w:val="21"/>
                <w:szCs w:val="21"/>
              </w:rPr>
              <w:t>开发与服务的资料。公司按照程序要求安排了适当的设计开发策划、评审、验证、确认活动，经过客户使用后，确认符合要求。具体见8.3条款审核记录。</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产品设计开发过程中及时进行了图纸备份，验收合格后由公司</w:t>
            </w:r>
            <w:r>
              <w:rPr>
                <w:rFonts w:hint="eastAsia" w:asciiTheme="minorEastAsia" w:hAnsiTheme="minorEastAsia" w:eastAsiaTheme="minorEastAsia" w:cstheme="minorEastAsia"/>
                <w:sz w:val="21"/>
                <w:szCs w:val="21"/>
                <w:lang w:val="en-US" w:eastAsia="zh-CN"/>
              </w:rPr>
              <w:t>技术</w:t>
            </w:r>
            <w:r>
              <w:rPr>
                <w:rFonts w:hint="eastAsia" w:asciiTheme="minorEastAsia" w:hAnsiTheme="minorEastAsia" w:eastAsiaTheme="minorEastAsia" w:cstheme="minorEastAsia"/>
                <w:sz w:val="21"/>
                <w:szCs w:val="21"/>
              </w:rPr>
              <w:t>部存档。</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稀油站</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稀油站</w:t>
            </w:r>
            <w:r>
              <w:rPr>
                <w:rFonts w:hint="eastAsia" w:asciiTheme="minorEastAsia" w:hAnsiTheme="minorEastAsia" w:eastAsiaTheme="minorEastAsia" w:cstheme="minorEastAsia"/>
                <w:sz w:val="21"/>
                <w:szCs w:val="21"/>
              </w:rPr>
              <w:t>开发与服务过程通过专人负责、产品专用标识等措施起到了防错作用。</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产品经过测试和确认合格后方可放行交付，发现问题时执行售后服务相关规定，目前没有发生。</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现场观察：</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技术</w:t>
            </w:r>
            <w:r>
              <w:rPr>
                <w:rFonts w:hint="eastAsia" w:asciiTheme="minorEastAsia" w:hAnsiTheme="minorEastAsia" w:eastAsiaTheme="minorEastAsia" w:cstheme="minorEastAsia"/>
                <w:sz w:val="21"/>
                <w:szCs w:val="21"/>
              </w:rPr>
              <w:t>部</w:t>
            </w:r>
            <w:r>
              <w:rPr>
                <w:rFonts w:hint="eastAsia" w:asciiTheme="minorEastAsia" w:hAnsiTheme="minorEastAsia" w:eastAsiaTheme="minorEastAsia" w:cstheme="minorEastAsia"/>
                <w:sz w:val="21"/>
                <w:szCs w:val="21"/>
                <w:lang w:val="en-US" w:eastAsia="zh-CN"/>
              </w:rPr>
              <w:t>王佳春</w:t>
            </w:r>
            <w:r>
              <w:rPr>
                <w:rFonts w:hint="eastAsia" w:asciiTheme="minorEastAsia" w:hAnsiTheme="minorEastAsia" w:eastAsiaTheme="minorEastAsia" w:cstheme="minorEastAsia"/>
                <w:sz w:val="21"/>
                <w:szCs w:val="21"/>
              </w:rPr>
              <w:t>正在为</w:t>
            </w:r>
            <w:r>
              <w:rPr>
                <w:rFonts w:hint="eastAsia" w:asciiTheme="minorEastAsia" w:hAnsiTheme="minorEastAsia" w:eastAsiaTheme="minorEastAsia" w:cstheme="minorEastAsia"/>
                <w:sz w:val="21"/>
                <w:szCs w:val="21"/>
                <w:lang w:val="en-US" w:eastAsia="zh-CN"/>
              </w:rPr>
              <w:t>稀油站</w:t>
            </w:r>
            <w:r>
              <w:rPr>
                <w:rFonts w:hint="eastAsia" w:asciiTheme="minorEastAsia" w:hAnsiTheme="minorEastAsia" w:eastAsiaTheme="minorEastAsia" w:cstheme="minorEastAsia"/>
                <w:sz w:val="21"/>
                <w:szCs w:val="21"/>
              </w:rPr>
              <w:t>安装调试</w:t>
            </w:r>
            <w:r>
              <w:rPr>
                <w:rFonts w:hint="eastAsia" w:asciiTheme="minorEastAsia" w:hAnsiTheme="minorEastAsia" w:eastAsiaTheme="minorEastAsia" w:cstheme="minorEastAsia"/>
                <w:sz w:val="21"/>
                <w:szCs w:val="21"/>
                <w:lang w:val="en-US" w:eastAsia="zh-CN"/>
              </w:rPr>
              <w:t>离心泵、热量置换装置进行调试</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主要为离心泵水平度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平衡度、间距</w:t>
            </w:r>
            <w:r>
              <w:rPr>
                <w:rFonts w:hint="eastAsia" w:asciiTheme="minorEastAsia" w:hAnsiTheme="minorEastAsia" w:eastAsiaTheme="minorEastAsia" w:cstheme="minorEastAsia"/>
                <w:sz w:val="21"/>
                <w:szCs w:val="21"/>
              </w:rPr>
              <w:t>等，技术人员对</w:t>
            </w:r>
            <w:r>
              <w:rPr>
                <w:rFonts w:hint="eastAsia" w:asciiTheme="minorEastAsia" w:hAnsiTheme="minorEastAsia" w:eastAsiaTheme="minorEastAsia" w:cstheme="minorEastAsia"/>
                <w:sz w:val="21"/>
                <w:szCs w:val="21"/>
                <w:lang w:val="en-US" w:eastAsia="zh-CN"/>
              </w:rPr>
              <w:t>稀油站</w:t>
            </w:r>
            <w:r>
              <w:rPr>
                <w:rFonts w:hint="eastAsia" w:asciiTheme="minorEastAsia" w:hAnsiTheme="minorEastAsia" w:eastAsiaTheme="minorEastAsia" w:cstheme="minorEastAsia"/>
                <w:sz w:val="21"/>
                <w:szCs w:val="21"/>
              </w:rPr>
              <w:t>知识较熟悉，操作熟练。</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17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27</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向国家专利局申报了油气田井口智能电磁加热装置专利申请。</w:t>
            </w: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drawing>
                <wp:anchor distT="0" distB="0" distL="114300" distR="114300" simplePos="0" relativeHeight="251661312" behindDoc="0" locked="0" layoutInCell="1" allowOverlap="1">
                  <wp:simplePos x="0" y="0"/>
                  <wp:positionH relativeFrom="column">
                    <wp:posOffset>1600200</wp:posOffset>
                  </wp:positionH>
                  <wp:positionV relativeFrom="paragraph">
                    <wp:posOffset>65405</wp:posOffset>
                  </wp:positionV>
                  <wp:extent cx="2292350" cy="3152140"/>
                  <wp:effectExtent l="0" t="0" r="12700" b="10160"/>
                  <wp:wrapNone/>
                  <wp:docPr id="3" name="图片 3" descr="稀油站专利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稀油站专利_00"/>
                          <pic:cNvPicPr>
                            <a:picLocks noChangeAspect="1"/>
                          </pic:cNvPicPr>
                        </pic:nvPicPr>
                        <pic:blipFill>
                          <a:blip r:embed="rId12"/>
                          <a:stretch>
                            <a:fillRect/>
                          </a:stretch>
                        </pic:blipFill>
                        <pic:spPr>
                          <a:xfrm>
                            <a:off x="0" y="0"/>
                            <a:ext cx="2292350" cy="3152140"/>
                          </a:xfrm>
                          <a:prstGeom prst="rect">
                            <a:avLst/>
                          </a:prstGeom>
                        </pic:spPr>
                      </pic:pic>
                    </a:graphicData>
                  </a:graphic>
                </wp:anchor>
              </w:drawing>
            </w:r>
          </w:p>
          <w:p>
            <w:pPr>
              <w:spacing w:line="360" w:lineRule="auto"/>
              <w:rPr>
                <w:rFonts w:hint="eastAsia" w:asciiTheme="minorEastAsia" w:hAnsiTheme="minorEastAsia" w:eastAsiaTheme="minorEastAsia" w:cstheme="minorEastAsia"/>
                <w:sz w:val="21"/>
                <w:szCs w:val="21"/>
                <w:lang w:eastAsia="zh-CN"/>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环保专用设备、石油钻采机械部件的生产、销售；钻井泥浆无害化处理设备、水处理（清水、软化水、污水、含油污水）设备、全自动软化水装置、稀油站、滤油机、油田专用设备、过滤器、</w:t>
            </w:r>
            <w:r>
              <w:rPr>
                <w:rFonts w:hint="eastAsia" w:asciiTheme="minorEastAsia" w:hAnsiTheme="minorEastAsia" w:eastAsiaTheme="minorEastAsia" w:cstheme="minorEastAsia"/>
                <w:sz w:val="21"/>
                <w:szCs w:val="21"/>
                <w:lang w:eastAsia="zh-CN"/>
              </w:rPr>
              <w:t>滤油机</w:t>
            </w:r>
            <w:r>
              <w:rPr>
                <w:rFonts w:hint="eastAsia" w:asciiTheme="minorEastAsia" w:hAnsiTheme="minorEastAsia" w:eastAsiaTheme="minorEastAsia" w:cstheme="minorEastAsia"/>
                <w:sz w:val="21"/>
                <w:szCs w:val="21"/>
              </w:rPr>
              <w:t>、太阳能用具</w:t>
            </w:r>
            <w:r>
              <w:rPr>
                <w:rFonts w:hint="eastAsia" w:asciiTheme="minorEastAsia" w:hAnsiTheme="minorEastAsia" w:eastAsiaTheme="minorEastAsia" w:cstheme="minorEastAsia"/>
                <w:sz w:val="21"/>
                <w:szCs w:val="21"/>
                <w:lang w:val="en-US" w:eastAsia="zh-CN"/>
              </w:rPr>
              <w:t>设计</w:t>
            </w:r>
            <w:r>
              <w:rPr>
                <w:rFonts w:hint="eastAsia" w:asciiTheme="minorEastAsia" w:hAnsiTheme="minorEastAsia" w:eastAsiaTheme="minorEastAsia" w:cstheme="minorEastAsia"/>
                <w:sz w:val="21"/>
                <w:szCs w:val="21"/>
              </w:rPr>
              <w:t>开发过程控制基本符合要求。</w:t>
            </w:r>
          </w:p>
        </w:tc>
        <w:tc>
          <w:tcPr>
            <w:tcW w:w="81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6"/>
        <w:rPr>
          <w:rFonts w:hint="eastAsia" w:ascii="楷体" w:hAnsi="楷体" w:eastAsia="楷体"/>
        </w:rPr>
      </w:pPr>
      <w:r>
        <w:rPr>
          <w:rFonts w:hint="eastAsia" w:ascii="楷体" w:hAnsi="楷体" w:eastAsia="楷体"/>
        </w:rPr>
        <w:t>说明：不符合标注N</w:t>
      </w:r>
    </w:p>
    <w:p>
      <w:pPr>
        <w:rPr>
          <w:rFonts w:hint="eastAsia" w:ascii="楷体" w:hAnsi="楷体" w:eastAsia="楷体"/>
        </w:rPr>
      </w:pPr>
      <w:r>
        <w:rPr>
          <w:rFonts w:hint="eastAsia" w:ascii="楷体" w:hAnsi="楷体" w:eastAsia="楷体"/>
        </w:rPr>
        <w:br w:type="page"/>
      </w:r>
    </w:p>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770"/>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1311"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涉及条款</w:t>
            </w:r>
          </w:p>
        </w:tc>
        <w:tc>
          <w:tcPr>
            <w:tcW w:w="1077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val="en-US" w:eastAsia="zh-CN"/>
              </w:rPr>
              <w:t>技术</w:t>
            </w:r>
            <w:r>
              <w:rPr>
                <w:rFonts w:hint="eastAsia" w:asciiTheme="minorEastAsia" w:hAnsiTheme="minorEastAsia" w:eastAsiaTheme="minorEastAsia" w:cstheme="minorEastAsia"/>
                <w:sz w:val="21"/>
                <w:szCs w:val="21"/>
              </w:rPr>
              <w:t>部      主管领导：</w:t>
            </w:r>
            <w:r>
              <w:rPr>
                <w:rFonts w:hint="eastAsia" w:asciiTheme="minorEastAsia" w:hAnsiTheme="minorEastAsia" w:eastAsiaTheme="minorEastAsia" w:cstheme="minorEastAsia"/>
                <w:sz w:val="21"/>
                <w:szCs w:val="21"/>
                <w:lang w:val="en-US" w:eastAsia="zh-CN"/>
              </w:rPr>
              <w:t>王佳春</w:t>
            </w:r>
            <w:r>
              <w:rPr>
                <w:rFonts w:hint="eastAsia" w:asciiTheme="minorEastAsia" w:hAnsiTheme="minorEastAsia" w:eastAsiaTheme="minorEastAsia" w:cstheme="minorEastAsia"/>
                <w:sz w:val="21"/>
                <w:szCs w:val="21"/>
              </w:rPr>
              <w:t xml:space="preserve">      陪同人员：</w:t>
            </w:r>
            <w:r>
              <w:rPr>
                <w:rFonts w:hint="eastAsia" w:asciiTheme="minorEastAsia" w:hAnsiTheme="minorEastAsia" w:eastAsiaTheme="minorEastAsia" w:cstheme="minorEastAsia"/>
                <w:sz w:val="21"/>
                <w:szCs w:val="21"/>
                <w:lang w:val="en-US" w:eastAsia="zh-CN"/>
              </w:rPr>
              <w:t>李永双</w:t>
            </w:r>
          </w:p>
        </w:tc>
        <w:tc>
          <w:tcPr>
            <w:tcW w:w="819"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hint="eastAsia" w:asciiTheme="minorEastAsia" w:hAnsiTheme="minorEastAsia" w:eastAsiaTheme="minorEastAsia" w:cstheme="minorEastAsia"/>
                <w:sz w:val="21"/>
                <w:szCs w:val="21"/>
              </w:rPr>
            </w:pPr>
          </w:p>
        </w:tc>
        <w:tc>
          <w:tcPr>
            <w:tcW w:w="1311" w:type="dxa"/>
            <w:vMerge w:val="continue"/>
            <w:vAlign w:val="center"/>
          </w:tcPr>
          <w:p>
            <w:pPr>
              <w:rPr>
                <w:rFonts w:hint="eastAsia" w:asciiTheme="minorEastAsia" w:hAnsiTheme="minorEastAsia" w:eastAsiaTheme="minorEastAsia" w:cstheme="minorEastAsia"/>
                <w:sz w:val="21"/>
                <w:szCs w:val="21"/>
              </w:rPr>
            </w:pPr>
          </w:p>
        </w:tc>
        <w:tc>
          <w:tcPr>
            <w:tcW w:w="10770" w:type="dxa"/>
            <w:vAlign w:val="center"/>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郭力、</w:t>
            </w:r>
            <w:r>
              <w:rPr>
                <w:rFonts w:hint="eastAsia" w:asciiTheme="minorEastAsia" w:hAnsiTheme="minorEastAsia" w:eastAsiaTheme="minorEastAsia" w:cstheme="minorEastAsia"/>
                <w:sz w:val="21"/>
                <w:szCs w:val="21"/>
              </w:rPr>
              <w:t xml:space="preserve">薛永宏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审核时间：</w:t>
            </w:r>
            <w:r>
              <w:rPr>
                <w:rFonts w:hint="eastAsia" w:ascii="宋体" w:hAnsi="宋体" w:cstheme="minorEastAsia"/>
                <w:color w:val="auto"/>
                <w:sz w:val="21"/>
                <w:szCs w:val="21"/>
              </w:rPr>
              <w:t>202</w:t>
            </w:r>
            <w:r>
              <w:rPr>
                <w:rFonts w:hint="eastAsia" w:ascii="宋体" w:hAnsi="宋体" w:cstheme="minorEastAsia"/>
                <w:color w:val="auto"/>
                <w:sz w:val="21"/>
                <w:szCs w:val="21"/>
                <w:lang w:val="en-US" w:eastAsia="zh-CN"/>
              </w:rPr>
              <w:t>1</w:t>
            </w:r>
            <w:r>
              <w:rPr>
                <w:rFonts w:hint="eastAsia" w:ascii="宋体" w:hAnsi="宋体" w:cstheme="minorEastAsia"/>
                <w:color w:val="auto"/>
                <w:sz w:val="21"/>
                <w:szCs w:val="21"/>
              </w:rPr>
              <w:t>年</w:t>
            </w:r>
            <w:r>
              <w:rPr>
                <w:rFonts w:hint="eastAsia" w:ascii="宋体" w:hAnsi="宋体" w:cstheme="minorEastAsia"/>
                <w:color w:val="auto"/>
                <w:sz w:val="21"/>
                <w:szCs w:val="21"/>
                <w:lang w:val="en-US" w:eastAsia="zh-CN"/>
              </w:rPr>
              <w:t>7</w:t>
            </w:r>
            <w:r>
              <w:rPr>
                <w:rFonts w:hint="eastAsia" w:ascii="宋体" w:hAnsi="宋体" w:cstheme="minorEastAsia"/>
                <w:color w:val="auto"/>
                <w:sz w:val="21"/>
                <w:szCs w:val="21"/>
              </w:rPr>
              <w:t>月1</w:t>
            </w:r>
            <w:r>
              <w:rPr>
                <w:rFonts w:hint="eastAsia" w:ascii="宋体" w:hAnsi="宋体" w:cstheme="minorEastAsia"/>
                <w:color w:val="auto"/>
                <w:sz w:val="21"/>
                <w:szCs w:val="21"/>
                <w:lang w:val="en-US" w:eastAsia="zh-CN"/>
              </w:rPr>
              <w:t>4</w:t>
            </w:r>
            <w:r>
              <w:rPr>
                <w:rFonts w:hint="eastAsia" w:ascii="宋体" w:hAnsi="宋体" w:cstheme="minorEastAsia"/>
                <w:color w:val="auto"/>
                <w:sz w:val="21"/>
                <w:szCs w:val="21"/>
              </w:rPr>
              <w:t>日</w:t>
            </w:r>
          </w:p>
        </w:tc>
        <w:tc>
          <w:tcPr>
            <w:tcW w:w="81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hint="eastAsia" w:asciiTheme="minorEastAsia" w:hAnsiTheme="minorEastAsia" w:eastAsiaTheme="minorEastAsia" w:cstheme="minorEastAsia"/>
                <w:sz w:val="21"/>
                <w:szCs w:val="21"/>
              </w:rPr>
            </w:pPr>
          </w:p>
        </w:tc>
        <w:tc>
          <w:tcPr>
            <w:tcW w:w="1311" w:type="dxa"/>
            <w:vMerge w:val="continue"/>
            <w:vAlign w:val="center"/>
          </w:tcPr>
          <w:p>
            <w:pPr>
              <w:rPr>
                <w:rFonts w:hint="eastAsia" w:asciiTheme="minorEastAsia" w:hAnsiTheme="minorEastAsia" w:eastAsiaTheme="minorEastAsia" w:cstheme="minorEastAsia"/>
                <w:sz w:val="21"/>
                <w:szCs w:val="21"/>
              </w:rPr>
            </w:pPr>
          </w:p>
        </w:tc>
        <w:tc>
          <w:tcPr>
            <w:tcW w:w="10770" w:type="dxa"/>
            <w:vAlign w:val="center"/>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审核</w:t>
            </w:r>
            <w:r>
              <w:rPr>
                <w:rFonts w:hint="eastAsia" w:asciiTheme="minorEastAsia" w:hAnsiTheme="minorEastAsia" w:eastAsiaTheme="minorEastAsia" w:cstheme="minorEastAsia"/>
                <w:bCs/>
                <w:sz w:val="21"/>
                <w:szCs w:val="21"/>
              </w:rPr>
              <w:t>条款：</w:t>
            </w:r>
          </w:p>
          <w:p>
            <w:pPr>
              <w:rPr>
                <w:rFonts w:hint="eastAsia" w:asciiTheme="minorEastAsia" w:hAnsiTheme="minorEastAsia" w:eastAsiaTheme="minorEastAsia" w:cstheme="minorEastAsia"/>
                <w:bCs/>
                <w:sz w:val="21"/>
                <w:szCs w:val="21"/>
              </w:rPr>
            </w:pPr>
            <w:r>
              <w:rPr>
                <w:rFonts w:hint="eastAsia" w:ascii="宋体" w:hAnsi="宋体" w:cstheme="minorEastAsia"/>
                <w:color w:val="auto"/>
                <w:sz w:val="21"/>
                <w:szCs w:val="21"/>
              </w:rPr>
              <w:t>E:5.3/6.2/6.1.2/8.1/8.2；</w:t>
            </w:r>
          </w:p>
        </w:tc>
        <w:tc>
          <w:tcPr>
            <w:tcW w:w="81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809"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职责权限</w:t>
            </w:r>
          </w:p>
        </w:tc>
        <w:tc>
          <w:tcPr>
            <w:tcW w:w="1311" w:type="dxa"/>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E</w:t>
            </w:r>
            <w:r>
              <w:rPr>
                <w:rFonts w:hint="eastAsia" w:asciiTheme="minorEastAsia" w:hAnsiTheme="minorEastAsia" w:eastAsiaTheme="minorEastAsia" w:cstheme="minorEastAsia"/>
                <w:sz w:val="21"/>
                <w:szCs w:val="21"/>
              </w:rPr>
              <w:t>5.3</w:t>
            </w:r>
          </w:p>
        </w:tc>
        <w:tc>
          <w:tcPr>
            <w:tcW w:w="10770" w:type="dxa"/>
          </w:tcPr>
          <w:p>
            <w:pPr>
              <w:tabs>
                <w:tab w:val="left" w:pos="900"/>
              </w:tabs>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询问</w:t>
            </w:r>
            <w:r>
              <w:rPr>
                <w:rFonts w:hint="eastAsia" w:asciiTheme="minorEastAsia" w:hAnsiTheme="minorEastAsia" w:eastAsiaTheme="minorEastAsia" w:cstheme="minorEastAsia"/>
                <w:sz w:val="21"/>
                <w:szCs w:val="21"/>
                <w:lang w:val="en-US" w:eastAsia="zh-CN"/>
              </w:rPr>
              <w:t>技术</w:t>
            </w:r>
            <w:r>
              <w:rPr>
                <w:rFonts w:hint="eastAsia" w:asciiTheme="minorEastAsia" w:hAnsiTheme="minorEastAsia" w:eastAsiaTheme="minorEastAsia" w:cstheme="minorEastAsia"/>
                <w:sz w:val="21"/>
                <w:szCs w:val="21"/>
              </w:rPr>
              <w:t>部负责人</w:t>
            </w:r>
            <w:r>
              <w:rPr>
                <w:rFonts w:hint="eastAsia" w:asciiTheme="minorEastAsia" w:hAnsiTheme="minorEastAsia" w:eastAsiaTheme="minorEastAsia" w:cstheme="minorEastAsia"/>
                <w:sz w:val="21"/>
                <w:szCs w:val="21"/>
                <w:lang w:val="en-US" w:eastAsia="zh-CN"/>
              </w:rPr>
              <w:t>王佳春</w:t>
            </w:r>
            <w:r>
              <w:rPr>
                <w:rFonts w:hint="eastAsia" w:asciiTheme="minorEastAsia" w:hAnsiTheme="minorEastAsia" w:eastAsiaTheme="minorEastAsia" w:cstheme="minorEastAsia"/>
                <w:sz w:val="21"/>
                <w:szCs w:val="21"/>
              </w:rPr>
              <w:t>，能明确本部门的职责：1)负责本公司的技术改造和改进的工艺；</w:t>
            </w:r>
          </w:p>
          <w:p>
            <w:pPr>
              <w:tabs>
                <w:tab w:val="left" w:pos="900"/>
              </w:tabs>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2)负责经营技术工艺的制定和培训；</w:t>
            </w:r>
          </w:p>
          <w:p>
            <w:pPr>
              <w:tabs>
                <w:tab w:val="left" w:pos="900"/>
              </w:tabs>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3)负责数据分析，统计技术的应用和管理；</w:t>
            </w:r>
          </w:p>
          <w:p>
            <w:pPr>
              <w:tabs>
                <w:tab w:val="left" w:pos="900"/>
              </w:tabs>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4)负责针对产品质量问题，组织制定相应的纠正措施和改进措施，并进行跟踪验证活动；</w:t>
            </w:r>
          </w:p>
          <w:p>
            <w:pPr>
              <w:tabs>
                <w:tab w:val="left" w:pos="900"/>
              </w:tabs>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5)优先选用安全环保材料；</w:t>
            </w:r>
          </w:p>
          <w:p>
            <w:pPr>
              <w:tabs>
                <w:tab w:val="left" w:pos="900"/>
              </w:tabs>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6)负责识别/辨识新产品和改造中的环境因素/危险源，并提出相应的控制措施。</w:t>
            </w:r>
          </w:p>
          <w:p>
            <w:pPr>
              <w:tabs>
                <w:tab w:val="left" w:pos="720"/>
              </w:tabs>
              <w:spacing w:line="400" w:lineRule="exact"/>
              <w:ind w:left="5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7)负责明确产品可追溯性要求，当产品出现质量问题时，组织对其进行追溯；</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技术</w:t>
            </w:r>
            <w:r>
              <w:rPr>
                <w:rFonts w:hint="eastAsia" w:asciiTheme="minorEastAsia" w:hAnsiTheme="minorEastAsia" w:eastAsiaTheme="minorEastAsia" w:cstheme="minorEastAsia"/>
                <w:sz w:val="21"/>
                <w:szCs w:val="21"/>
              </w:rPr>
              <w:t>部上述作用和职责、权限基本得到有效沟通和实施。</w:t>
            </w:r>
          </w:p>
        </w:tc>
        <w:tc>
          <w:tcPr>
            <w:tcW w:w="819"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目标 </w:t>
            </w:r>
          </w:p>
        </w:tc>
        <w:tc>
          <w:tcPr>
            <w:tcW w:w="1311"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E</w:t>
            </w:r>
            <w:r>
              <w:rPr>
                <w:rFonts w:hint="eastAsia" w:asciiTheme="minorEastAsia" w:hAnsiTheme="minorEastAsia" w:eastAsiaTheme="minorEastAsia" w:cstheme="minorEastAsia"/>
                <w:sz w:val="21"/>
                <w:szCs w:val="21"/>
              </w:rPr>
              <w:t>6.2</w:t>
            </w:r>
          </w:p>
          <w:p>
            <w:pPr>
              <w:rPr>
                <w:rFonts w:hint="eastAsia" w:asciiTheme="minorEastAsia" w:hAnsiTheme="minorEastAsia" w:eastAsiaTheme="minorEastAsia" w:cstheme="minorEastAsia"/>
                <w:sz w:val="21"/>
                <w:szCs w:val="21"/>
              </w:rPr>
            </w:pPr>
          </w:p>
        </w:tc>
        <w:tc>
          <w:tcPr>
            <w:tcW w:w="10770"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部门目标：</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drawing>
                <wp:inline distT="0" distB="0" distL="114300" distR="114300">
                  <wp:extent cx="3803650" cy="2400300"/>
                  <wp:effectExtent l="0" t="0" r="635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3803650" cy="2400300"/>
                          </a:xfrm>
                          <a:prstGeom prst="rect">
                            <a:avLst/>
                          </a:prstGeom>
                          <a:noFill/>
                          <a:ln>
                            <a:noFill/>
                          </a:ln>
                        </pic:spPr>
                      </pic:pic>
                    </a:graphicData>
                  </a:graphic>
                </wp:inline>
              </w:drawing>
            </w:r>
            <w:r>
              <w:rPr>
                <w:rFonts w:hint="eastAsia" w:asciiTheme="minorEastAsia" w:hAnsiTheme="minorEastAsia" w:eastAsiaTheme="minorEastAsia" w:cstheme="minorEastAsia"/>
                <w:sz w:val="21"/>
                <w:szCs w:val="21"/>
              </w:rPr>
              <w:t xml:space="preserve">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考核情况，经</w:t>
            </w:r>
            <w:r>
              <w:rPr>
                <w:rFonts w:hint="eastAsia" w:asciiTheme="minorEastAsia" w:hAnsiTheme="minorEastAsia" w:eastAsiaTheme="minorEastAsia" w:cstheme="minorEastAsia"/>
                <w:sz w:val="21"/>
                <w:szCs w:val="21"/>
                <w:lang w:val="en-US" w:eastAsia="zh-CN"/>
              </w:rPr>
              <w:t>2021.7.5考核已经完成</w:t>
            </w:r>
            <w:r>
              <w:rPr>
                <w:rFonts w:hint="eastAsia" w:asciiTheme="minorEastAsia" w:hAnsiTheme="minorEastAsia" w:eastAsiaTheme="minorEastAsia" w:cstheme="minorEastAsia"/>
                <w:sz w:val="21"/>
                <w:szCs w:val="21"/>
              </w:rPr>
              <w:t>。</w:t>
            </w:r>
          </w:p>
          <w:p>
            <w:pPr>
              <w:spacing w:line="360" w:lineRule="auto"/>
              <w:rPr>
                <w:rFonts w:hint="eastAsia" w:asciiTheme="minorEastAsia" w:hAnsiTheme="minorEastAsia" w:eastAsiaTheme="minorEastAsia" w:cstheme="minorEastAsia"/>
                <w:sz w:val="21"/>
                <w:szCs w:val="21"/>
              </w:rPr>
            </w:pPr>
          </w:p>
        </w:tc>
        <w:tc>
          <w:tcPr>
            <w:tcW w:w="81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环境因素</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危险源</w:t>
            </w:r>
          </w:p>
        </w:tc>
        <w:tc>
          <w:tcPr>
            <w:tcW w:w="1311" w:type="dxa"/>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lang w:val="en-US" w:eastAsia="zh-CN"/>
              </w:rPr>
              <w:t>E</w:t>
            </w:r>
            <w:r>
              <w:rPr>
                <w:rFonts w:hint="eastAsia" w:asciiTheme="minorEastAsia" w:hAnsiTheme="minorEastAsia" w:eastAsiaTheme="minorEastAsia" w:cstheme="minorEastAsia"/>
                <w:bCs/>
                <w:sz w:val="21"/>
                <w:szCs w:val="21"/>
              </w:rPr>
              <w:t>6.1.2</w:t>
            </w:r>
          </w:p>
        </w:tc>
        <w:tc>
          <w:tcPr>
            <w:tcW w:w="10770" w:type="dxa"/>
          </w:tcPr>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提供了《环境因素和危险源识别评价与控制程序》，对环境因素、危险源的识别、评价结果、控制手段等做出了规定。</w:t>
            </w:r>
          </w:p>
          <w:p>
            <w:pPr>
              <w:snapToGrid w:val="0"/>
              <w:spacing w:line="360" w:lineRule="auto"/>
              <w:ind w:right="392"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部门负责人</w:t>
            </w:r>
            <w:r>
              <w:rPr>
                <w:rFonts w:hint="eastAsia" w:asciiTheme="minorEastAsia" w:hAnsiTheme="minorEastAsia" w:eastAsiaTheme="minorEastAsia" w:cstheme="minorEastAsia"/>
                <w:sz w:val="21"/>
                <w:szCs w:val="21"/>
              </w:rPr>
              <w:t>介绍了对环境因素、危险源进行了辨识，考虑了三种时态，过去、现在和将来，三种状态，正常、异常和紧急，按照办公区域及工作过程，另外按照区域及工作过程等进行了辨识。</w:t>
            </w:r>
          </w:p>
          <w:p>
            <w:pPr>
              <w:snapToGrid w:val="0"/>
              <w:spacing w:line="360" w:lineRule="auto"/>
              <w:ind w:right="392"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提供了《环境因素识别与评价表》，从生命周期观点，三种时态、三种状态、八个方面来识别，识别了办公过程的废纸随意丢弃污染环境、复印机打印机废墨盒处置污染环境、生活垃圾的处置不当污染环境、废电池随意丢弃污染环境、吸烟污染空气等,识别基本齐全。采用评分标准以打分的方式评价重要环境因素，评价出的重要环境因素为：潜在火灾、固废排放等。</w:t>
            </w:r>
          </w:p>
          <w:p>
            <w:pPr>
              <w:snapToGrid w:val="0"/>
              <w:spacing w:line="360" w:lineRule="auto"/>
              <w:ind w:right="392"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策划通过运行控制、管理方案、培训教育、应急预案等对重大环境因素实施控制，基本适宜，具体见E8.1条款。</w:t>
            </w:r>
          </w:p>
        </w:tc>
        <w:tc>
          <w:tcPr>
            <w:tcW w:w="81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809" w:type="dxa"/>
          </w:tcPr>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运行的策划和控制</w:t>
            </w:r>
          </w:p>
          <w:p>
            <w:pPr>
              <w:spacing w:line="360" w:lineRule="auto"/>
              <w:rPr>
                <w:rFonts w:hint="eastAsia" w:asciiTheme="minorEastAsia" w:hAnsiTheme="minorEastAsia" w:eastAsiaTheme="minorEastAsia" w:cstheme="minorEastAsia"/>
                <w:bCs/>
                <w:sz w:val="21"/>
                <w:szCs w:val="21"/>
              </w:rPr>
            </w:pPr>
          </w:p>
        </w:tc>
        <w:tc>
          <w:tcPr>
            <w:tcW w:w="1311" w:type="dxa"/>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E</w:t>
            </w:r>
            <w:r>
              <w:rPr>
                <w:rFonts w:hint="eastAsia" w:asciiTheme="minorEastAsia" w:hAnsiTheme="minorEastAsia" w:eastAsiaTheme="minorEastAsia" w:cstheme="minorEastAsia"/>
                <w:sz w:val="21"/>
                <w:szCs w:val="21"/>
              </w:rPr>
              <w:t>8.1</w:t>
            </w:r>
          </w:p>
        </w:tc>
        <w:tc>
          <w:tcPr>
            <w:tcW w:w="10770" w:type="dxa"/>
          </w:tcPr>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环境管理体系方面：</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编制与环境、安全体系运行控制有关的文件有《管理运行控制程序》、《节约用水管理规定》、《垃圾管理规定》、《消防控制程序》《电工操作规程》、《应急预案》等。</w:t>
            </w:r>
          </w:p>
          <w:p>
            <w:pPr>
              <w:widowControl/>
              <w:numPr>
                <w:ilvl w:val="0"/>
                <w:numId w:val="6"/>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废水管控：</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智能化工业机器人、钻井泥浆无害化处理设备、电磁加热设备和电磁加热三项分离装置、固体废弃物处理设备设计过程不产生废水，生活废水排入</w:t>
            </w:r>
            <w:r>
              <w:rPr>
                <w:rFonts w:hint="eastAsia" w:asciiTheme="minorEastAsia" w:hAnsiTheme="minorEastAsia" w:eastAsiaTheme="minorEastAsia" w:cstheme="minorEastAsia"/>
                <w:sz w:val="21"/>
                <w:szCs w:val="21"/>
                <w:lang w:val="en-US" w:eastAsia="zh-CN"/>
              </w:rPr>
              <w:t>城市</w:t>
            </w:r>
            <w:r>
              <w:rPr>
                <w:rFonts w:hint="eastAsia" w:asciiTheme="minorEastAsia" w:hAnsiTheme="minorEastAsia" w:eastAsiaTheme="minorEastAsia" w:cstheme="minorEastAsia"/>
                <w:sz w:val="21"/>
                <w:szCs w:val="21"/>
              </w:rPr>
              <w:t>管网集中处理。</w:t>
            </w:r>
          </w:p>
          <w:p>
            <w:pPr>
              <w:widowControl/>
              <w:numPr>
                <w:ilvl w:val="0"/>
                <w:numId w:val="6"/>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废气管控：</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p>
            <w:pPr>
              <w:widowControl/>
              <w:numPr>
                <w:ilvl w:val="0"/>
                <w:numId w:val="6"/>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噪声管控：</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办公过程和安装调试过程基本无噪声。</w:t>
            </w:r>
          </w:p>
          <w:p>
            <w:pPr>
              <w:widowControl/>
              <w:numPr>
                <w:ilvl w:val="0"/>
                <w:numId w:val="6"/>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固废管控：</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主要是办公固废的排放和安装调试时的电线、网线边角料及包装物的排放。</w:t>
            </w:r>
            <w:r>
              <w:rPr>
                <w:rFonts w:hint="eastAsia" w:asciiTheme="minorEastAsia" w:hAnsiTheme="minorEastAsia" w:eastAsiaTheme="minorEastAsia" w:cstheme="minorEastAsia"/>
                <w:sz w:val="21"/>
                <w:szCs w:val="21"/>
                <w:lang w:val="en-US" w:eastAsia="zh-CN"/>
              </w:rPr>
              <w:t>技术</w:t>
            </w:r>
            <w:r>
              <w:rPr>
                <w:rFonts w:hint="eastAsia" w:asciiTheme="minorEastAsia" w:hAnsiTheme="minorEastAsia" w:eastAsiaTheme="minorEastAsia" w:cstheme="minorEastAsia"/>
                <w:sz w:val="21"/>
                <w:szCs w:val="21"/>
              </w:rPr>
              <w:t>部将墨盒硒鼓等办公危废交行政部统一处理一般是交供应商回收，其他固废及生活垃圾放在门口垃圾桶由办公大楼物业部门统一处理。</w:t>
            </w:r>
          </w:p>
          <w:p>
            <w:pPr>
              <w:widowControl/>
              <w:numPr>
                <w:ilvl w:val="0"/>
                <w:numId w:val="6"/>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能源资源管控：</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开发和办公过程注意节水、节电，人走关闭设备和照明开关，现场未发现有漏水和浪费电能的现象。</w:t>
            </w:r>
          </w:p>
          <w:p>
            <w:pPr>
              <w:widowControl/>
              <w:numPr>
                <w:ilvl w:val="0"/>
                <w:numId w:val="6"/>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产品生命周期的环境管控：</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公司从工艺设计时考虑了产品的环保性，研发过程中，严格按照环保等管理制度实施，控制好材料的用量，避免浪费，尽量考虑生命周期终了时还可以回收再利用。</w:t>
            </w:r>
          </w:p>
          <w:p>
            <w:pPr>
              <w:widowControl/>
              <w:numPr>
                <w:ilvl w:val="0"/>
                <w:numId w:val="6"/>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潜在火灾管控：</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公司配备了消防设施。</w:t>
            </w:r>
          </w:p>
          <w:p>
            <w:pPr>
              <w:widowControl/>
              <w:numPr>
                <w:ilvl w:val="0"/>
                <w:numId w:val="6"/>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安全防护：</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主要是防止触电，研发和办公时注意防护，加强日常检查和培训教育。</w:t>
            </w:r>
          </w:p>
          <w:p>
            <w:pPr>
              <w:widowControl/>
              <w:numPr>
                <w:ilvl w:val="0"/>
                <w:numId w:val="6"/>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能提供防止员工意外伤害加重的急救药品如创可贴、杀菌药水等。</w:t>
            </w:r>
          </w:p>
          <w:p>
            <w:pPr>
              <w:widowControl/>
              <w:numPr>
                <w:ilvl w:val="0"/>
                <w:numId w:val="6"/>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为主要长期员工上社保，查见交款证明。</w:t>
            </w:r>
          </w:p>
          <w:p>
            <w:pPr>
              <w:widowControl/>
              <w:numPr>
                <w:ilvl w:val="0"/>
                <w:numId w:val="6"/>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按有关程序和要求通报供方和顾客，采用〈告知函〉方式通报。查到相关方告知书。</w:t>
            </w:r>
          </w:p>
          <w:p>
            <w:pPr>
              <w:widowControl/>
              <w:numPr>
                <w:ilvl w:val="0"/>
                <w:numId w:val="6"/>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员工饮用水为纯净水通过饮水机饮用。</w:t>
            </w:r>
          </w:p>
          <w:p>
            <w:pPr>
              <w:widowControl/>
              <w:numPr>
                <w:ilvl w:val="0"/>
                <w:numId w:val="6"/>
              </w:numPr>
              <w:spacing w:line="360" w:lineRule="auto"/>
              <w:ind w:right="50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现场运行控制：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从事的主要是钻井泥浆无害化处理设备、水处理（清水、软化水、污水、含油污水）设备、全自动软化水装置、稀油站、滤油机、油田专用设备、过滤器、电磁加热设备和电磁加热三项分离装置、太阳能用具的设计设计开发。</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现场查看各研发技术人员坐姿正确避免过度疲劳。</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电脑显示器调整到保护视力的颜色。</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研发、调试和办公区内现场电线布线合理，电线均处于完好状态，有接地及保护装置，漏电保护器状态良好。</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现场有分类存放的垃圾桶。</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现场配备有灭火器、消防栓，均有效。</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现场在环保防护方面的控制管理基本有效。</w:t>
            </w:r>
          </w:p>
        </w:tc>
        <w:tc>
          <w:tcPr>
            <w:tcW w:w="81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3" w:hRule="atLeast"/>
        </w:trPr>
        <w:tc>
          <w:tcPr>
            <w:tcW w:w="1809" w:type="dxa"/>
          </w:tcPr>
          <w:p>
            <w:pPr>
              <w:spacing w:line="360" w:lineRule="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应急准备和响应</w:t>
            </w:r>
          </w:p>
        </w:tc>
        <w:tc>
          <w:tcPr>
            <w:tcW w:w="1311" w:type="dxa"/>
          </w:tcPr>
          <w:p>
            <w:pPr>
              <w:spacing w:line="360" w:lineRule="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lang w:val="en-US" w:eastAsia="zh-CN"/>
              </w:rPr>
              <w:t>E</w:t>
            </w:r>
            <w:r>
              <w:rPr>
                <w:rFonts w:hint="eastAsia" w:asciiTheme="minorEastAsia" w:hAnsiTheme="minorEastAsia" w:eastAsiaTheme="minorEastAsia" w:cstheme="minorEastAsia"/>
                <w:spacing w:val="-10"/>
                <w:sz w:val="21"/>
                <w:szCs w:val="21"/>
              </w:rPr>
              <w:t>8.2</w:t>
            </w:r>
          </w:p>
        </w:tc>
        <w:tc>
          <w:tcPr>
            <w:tcW w:w="10770" w:type="dxa"/>
          </w:tcPr>
          <w:p>
            <w:pPr>
              <w:spacing w:line="360" w:lineRule="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编制了《应急准备和响应控制程序》，确定的紧急情况有：火灾、触电、人等。</w:t>
            </w:r>
            <w:r>
              <w:rPr>
                <w:rFonts w:hint="eastAsia" w:asciiTheme="minorEastAsia" w:hAnsiTheme="minorEastAsia" w:eastAsiaTheme="minorEastAsia" w:cstheme="minorEastAsia"/>
                <w:spacing w:val="-10"/>
                <w:sz w:val="21"/>
                <w:szCs w:val="21"/>
                <w:lang w:val="en-US" w:eastAsia="zh-CN"/>
              </w:rPr>
              <w:t>技术</w:t>
            </w:r>
            <w:r>
              <w:rPr>
                <w:rFonts w:hint="eastAsia" w:asciiTheme="minorEastAsia" w:hAnsiTheme="minorEastAsia" w:eastAsiaTheme="minorEastAsia" w:cstheme="minorEastAsia"/>
                <w:spacing w:val="-10"/>
                <w:sz w:val="21"/>
                <w:szCs w:val="21"/>
              </w:rPr>
              <w:t>部的人员参与了公司的应急演练，明确了应急处理流程及方案。</w:t>
            </w:r>
          </w:p>
          <w:p>
            <w:pPr>
              <w:tabs>
                <w:tab w:val="left" w:pos="6597"/>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应急设施配置：办公场所配备了灭火器、消防栓等消防设施，均在有效期内，状态良好。</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查20</w:t>
            </w:r>
            <w:r>
              <w:rPr>
                <w:rFonts w:hint="eastAsia" w:asciiTheme="minorEastAsia" w:hAnsiTheme="minorEastAsia" w:eastAsiaTheme="minorEastAsia" w:cstheme="minorEastAsia"/>
                <w:sz w:val="21"/>
                <w:szCs w:val="21"/>
                <w:lang w:val="en-US" w:eastAsia="zh-CN"/>
              </w:rPr>
              <w:t>21.6.20</w:t>
            </w:r>
            <w:r>
              <w:rPr>
                <w:rFonts w:hint="eastAsia" w:asciiTheme="minorEastAsia" w:hAnsiTheme="minorEastAsia" w:eastAsiaTheme="minorEastAsia" w:cstheme="minorEastAsia"/>
                <w:sz w:val="21"/>
                <w:szCs w:val="21"/>
              </w:rPr>
              <w:t>日的《</w:t>
            </w:r>
            <w:r>
              <w:rPr>
                <w:rFonts w:hint="eastAsia" w:asciiTheme="minorEastAsia" w:hAnsiTheme="minorEastAsia" w:eastAsiaTheme="minorEastAsia" w:cstheme="minorEastAsia"/>
                <w:sz w:val="21"/>
                <w:szCs w:val="21"/>
                <w:lang w:val="en-US" w:eastAsia="zh-CN"/>
              </w:rPr>
              <w:t>爆炸、火灾消防</w:t>
            </w:r>
            <w:r>
              <w:rPr>
                <w:rFonts w:hint="eastAsia" w:asciiTheme="minorEastAsia" w:hAnsiTheme="minorEastAsia" w:eastAsiaTheme="minorEastAsia" w:cstheme="minorEastAsia"/>
                <w:sz w:val="21"/>
                <w:szCs w:val="21"/>
              </w:rPr>
              <w:t>事故应急预案演练记录》，参加人员各岗位人员；记录演练过程、急救措施等内容。评价：组织指挥有序，项目岗位配合较好，达到了预定目标，演练的效果较好。人员的速度较快，及时按照预定方案对事故处理人员进行保护。</w:t>
            </w:r>
          </w:p>
          <w:p>
            <w:pPr>
              <w:spacing w:line="360" w:lineRule="auto"/>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现场巡视办公区、研发及调试区配有多个灭火器和消防栓，均有效。</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查到“消防器材台账及检查记录”，20</w:t>
            </w:r>
            <w:r>
              <w:rPr>
                <w:rFonts w:hint="eastAsia" w:asciiTheme="minorEastAsia" w:hAnsiTheme="minorEastAsia" w:eastAsiaTheme="minorEastAsia" w:cstheme="minorEastAsia"/>
                <w:bCs/>
                <w:sz w:val="21"/>
                <w:szCs w:val="21"/>
                <w:lang w:val="en-US" w:eastAsia="zh-CN"/>
              </w:rPr>
              <w:t>21</w:t>
            </w:r>
            <w:r>
              <w:rPr>
                <w:rFonts w:hint="eastAsia" w:asciiTheme="minorEastAsia" w:hAnsiTheme="minorEastAsia" w:eastAsiaTheme="minorEastAsia" w:cstheme="minorEastAsia"/>
                <w:bCs/>
                <w:sz w:val="21"/>
                <w:szCs w:val="21"/>
              </w:rPr>
              <w:t>.1</w:t>
            </w:r>
            <w:r>
              <w:rPr>
                <w:rFonts w:hint="eastAsia" w:asciiTheme="minorEastAsia" w:hAnsiTheme="minorEastAsia" w:eastAsiaTheme="minorEastAsia" w:cstheme="minorEastAsia"/>
                <w:bCs/>
                <w:sz w:val="21"/>
                <w:szCs w:val="21"/>
                <w:lang w:val="en-US" w:eastAsia="zh-CN"/>
              </w:rPr>
              <w:t>-6月兰晓敏</w:t>
            </w:r>
            <w:r>
              <w:rPr>
                <w:rFonts w:hint="eastAsia" w:asciiTheme="minorEastAsia" w:hAnsiTheme="minorEastAsia" w:eastAsiaTheme="minorEastAsia" w:cstheme="minorEastAsia"/>
                <w:bCs/>
                <w:sz w:val="21"/>
                <w:szCs w:val="21"/>
              </w:rPr>
              <w:t>对灭火器及消防箱进行了检查，结果正常。</w:t>
            </w:r>
          </w:p>
          <w:p>
            <w:pPr>
              <w:spacing w:line="360" w:lineRule="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自体系运行以来尚未发生紧急情况。</w:t>
            </w:r>
          </w:p>
        </w:tc>
        <w:tc>
          <w:tcPr>
            <w:tcW w:w="819" w:type="dxa"/>
          </w:tcPr>
          <w:p>
            <w:pPr>
              <w:spacing w:line="360" w:lineRule="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z w:val="21"/>
                <w:szCs w:val="21"/>
                <w:lang w:val="en-US" w:eastAsia="zh-CN"/>
              </w:rPr>
              <w:t>合格</w:t>
            </w: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6"/>
        <w:rPr>
          <w:rFonts w:ascii="楷体" w:hAnsi="楷体" w:eastAsia="楷体"/>
        </w:rPr>
      </w:pPr>
      <w:r>
        <w:rPr>
          <w:rFonts w:hint="eastAsia" w:ascii="楷体" w:hAnsi="楷体" w:eastAsia="楷体"/>
        </w:rPr>
        <w:t>说明：不符合标注N</w:t>
      </w:r>
    </w:p>
    <w:p>
      <w:pPr>
        <w:pStyle w:val="6"/>
        <w:rPr>
          <w:rFonts w:hint="eastAsia" w:ascii="楷体" w:hAnsi="楷体" w:eastAsia="楷体"/>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D8D38"/>
    <w:multiLevelType w:val="multilevel"/>
    <w:tmpl w:val="C90D8D38"/>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6"/>
    <w:multiLevelType w:val="multilevel"/>
    <w:tmpl w:val="00000006"/>
    <w:lvl w:ilvl="0" w:tentative="0">
      <w:start w:val="1"/>
      <w:numFmt w:val="decimal"/>
      <w:lvlText w:val="%1、"/>
      <w:lvlJc w:val="left"/>
      <w:pPr>
        <w:tabs>
          <w:tab w:val="left" w:pos="880"/>
        </w:tabs>
        <w:ind w:left="880" w:hanging="720"/>
      </w:pPr>
      <w:rPr>
        <w:rFonts w:hint="default"/>
      </w:rPr>
    </w:lvl>
    <w:lvl w:ilvl="1" w:tentative="0">
      <w:start w:val="1"/>
      <w:numFmt w:val="lowerLetter"/>
      <w:lvlText w:val="%2)"/>
      <w:lvlJc w:val="left"/>
      <w:pPr>
        <w:tabs>
          <w:tab w:val="left" w:pos="1000"/>
        </w:tabs>
        <w:ind w:left="1000" w:hanging="420"/>
      </w:pPr>
    </w:lvl>
    <w:lvl w:ilvl="2" w:tentative="0">
      <w:start w:val="1"/>
      <w:numFmt w:val="lowerRoman"/>
      <w:lvlText w:val="%3."/>
      <w:lvlJc w:val="right"/>
      <w:pPr>
        <w:tabs>
          <w:tab w:val="left" w:pos="1420"/>
        </w:tabs>
        <w:ind w:left="1420" w:hanging="420"/>
      </w:pPr>
    </w:lvl>
    <w:lvl w:ilvl="3" w:tentative="0">
      <w:start w:val="1"/>
      <w:numFmt w:val="decimal"/>
      <w:lvlText w:val="%4."/>
      <w:lvlJc w:val="left"/>
      <w:pPr>
        <w:tabs>
          <w:tab w:val="left" w:pos="1840"/>
        </w:tabs>
        <w:ind w:left="1840" w:hanging="420"/>
      </w:pPr>
    </w:lvl>
    <w:lvl w:ilvl="4" w:tentative="0">
      <w:start w:val="1"/>
      <w:numFmt w:val="lowerLetter"/>
      <w:lvlText w:val="%5)"/>
      <w:lvlJc w:val="left"/>
      <w:pPr>
        <w:tabs>
          <w:tab w:val="left" w:pos="2260"/>
        </w:tabs>
        <w:ind w:left="2260" w:hanging="420"/>
      </w:pPr>
    </w:lvl>
    <w:lvl w:ilvl="5" w:tentative="0">
      <w:start w:val="1"/>
      <w:numFmt w:val="lowerRoman"/>
      <w:lvlText w:val="%6."/>
      <w:lvlJc w:val="right"/>
      <w:pPr>
        <w:tabs>
          <w:tab w:val="left" w:pos="2680"/>
        </w:tabs>
        <w:ind w:left="2680" w:hanging="420"/>
      </w:pPr>
    </w:lvl>
    <w:lvl w:ilvl="6" w:tentative="0">
      <w:start w:val="1"/>
      <w:numFmt w:val="decimal"/>
      <w:lvlText w:val="%7."/>
      <w:lvlJc w:val="left"/>
      <w:pPr>
        <w:tabs>
          <w:tab w:val="left" w:pos="3100"/>
        </w:tabs>
        <w:ind w:left="3100" w:hanging="420"/>
      </w:pPr>
    </w:lvl>
    <w:lvl w:ilvl="7" w:tentative="0">
      <w:start w:val="1"/>
      <w:numFmt w:val="lowerLetter"/>
      <w:lvlText w:val="%8)"/>
      <w:lvlJc w:val="left"/>
      <w:pPr>
        <w:tabs>
          <w:tab w:val="left" w:pos="3520"/>
        </w:tabs>
        <w:ind w:left="3520" w:hanging="420"/>
      </w:pPr>
    </w:lvl>
    <w:lvl w:ilvl="8" w:tentative="0">
      <w:start w:val="1"/>
      <w:numFmt w:val="lowerRoman"/>
      <w:lvlText w:val="%9."/>
      <w:lvlJc w:val="right"/>
      <w:pPr>
        <w:tabs>
          <w:tab w:val="left" w:pos="3940"/>
        </w:tabs>
        <w:ind w:left="3940" w:hanging="420"/>
      </w:pPr>
    </w:lvl>
  </w:abstractNum>
  <w:abstractNum w:abstractNumId="2">
    <w:nsid w:val="54363CCD"/>
    <w:multiLevelType w:val="multilevel"/>
    <w:tmpl w:val="54363CCD"/>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5A847CB"/>
    <w:multiLevelType w:val="multilevel"/>
    <w:tmpl w:val="55A847C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CB4BF7"/>
    <w:multiLevelType w:val="singleLevel"/>
    <w:tmpl w:val="59CB4BF7"/>
    <w:lvl w:ilvl="0" w:tentative="0">
      <w:start w:val="1"/>
      <w:numFmt w:val="decimal"/>
      <w:suff w:val="nothing"/>
      <w:lvlText w:val="%1、"/>
      <w:lvlJc w:val="left"/>
    </w:lvl>
  </w:abstractNum>
  <w:abstractNum w:abstractNumId="5">
    <w:nsid w:val="59CB57A6"/>
    <w:multiLevelType w:val="singleLevel"/>
    <w:tmpl w:val="59CB57A6"/>
    <w:lvl w:ilvl="0" w:tentative="0">
      <w:start w:val="1"/>
      <w:numFmt w:val="decimal"/>
      <w:suff w:val="nothing"/>
      <w:lvlText w:val="%1、"/>
      <w:lvlJc w:val="left"/>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322"/>
    <w:rsid w:val="000066B8"/>
    <w:rsid w:val="000208FF"/>
    <w:rsid w:val="0002108F"/>
    <w:rsid w:val="000214B6"/>
    <w:rsid w:val="00022B3B"/>
    <w:rsid w:val="0002734A"/>
    <w:rsid w:val="0003373A"/>
    <w:rsid w:val="00047171"/>
    <w:rsid w:val="0004784D"/>
    <w:rsid w:val="0005199E"/>
    <w:rsid w:val="00053144"/>
    <w:rsid w:val="0005467A"/>
    <w:rsid w:val="00054FDA"/>
    <w:rsid w:val="0005697E"/>
    <w:rsid w:val="000604E9"/>
    <w:rsid w:val="00064733"/>
    <w:rsid w:val="00065DBA"/>
    <w:rsid w:val="00067211"/>
    <w:rsid w:val="0007028F"/>
    <w:rsid w:val="00070C74"/>
    <w:rsid w:val="00077664"/>
    <w:rsid w:val="00083DA5"/>
    <w:rsid w:val="000849D2"/>
    <w:rsid w:val="000865BA"/>
    <w:rsid w:val="00093496"/>
    <w:rsid w:val="000A2B99"/>
    <w:rsid w:val="000A5E44"/>
    <w:rsid w:val="000B1394"/>
    <w:rsid w:val="000B2395"/>
    <w:rsid w:val="000B2962"/>
    <w:rsid w:val="000B40BD"/>
    <w:rsid w:val="000C0680"/>
    <w:rsid w:val="000C123B"/>
    <w:rsid w:val="000C2F50"/>
    <w:rsid w:val="000D108C"/>
    <w:rsid w:val="000D1AAF"/>
    <w:rsid w:val="000D48BC"/>
    <w:rsid w:val="000D5E06"/>
    <w:rsid w:val="000E14F8"/>
    <w:rsid w:val="000E2B69"/>
    <w:rsid w:val="000E4607"/>
    <w:rsid w:val="000E79D8"/>
    <w:rsid w:val="000F2339"/>
    <w:rsid w:val="000F2FA7"/>
    <w:rsid w:val="000F35F1"/>
    <w:rsid w:val="001012F4"/>
    <w:rsid w:val="001037D5"/>
    <w:rsid w:val="00107877"/>
    <w:rsid w:val="001105B5"/>
    <w:rsid w:val="00112DDC"/>
    <w:rsid w:val="00124422"/>
    <w:rsid w:val="00124B12"/>
    <w:rsid w:val="00130839"/>
    <w:rsid w:val="001324E4"/>
    <w:rsid w:val="001421D7"/>
    <w:rsid w:val="00152F43"/>
    <w:rsid w:val="00155DE4"/>
    <w:rsid w:val="00160355"/>
    <w:rsid w:val="00160590"/>
    <w:rsid w:val="00160D1B"/>
    <w:rsid w:val="001657FA"/>
    <w:rsid w:val="00167262"/>
    <w:rsid w:val="001730FA"/>
    <w:rsid w:val="00173465"/>
    <w:rsid w:val="001741F3"/>
    <w:rsid w:val="00174B4C"/>
    <w:rsid w:val="00176F07"/>
    <w:rsid w:val="001816F4"/>
    <w:rsid w:val="00184AC7"/>
    <w:rsid w:val="001858CC"/>
    <w:rsid w:val="00191CB7"/>
    <w:rsid w:val="001953AA"/>
    <w:rsid w:val="001965EC"/>
    <w:rsid w:val="001A1569"/>
    <w:rsid w:val="001A2C67"/>
    <w:rsid w:val="001A2D7F"/>
    <w:rsid w:val="001A3DF8"/>
    <w:rsid w:val="001A4705"/>
    <w:rsid w:val="001A77A1"/>
    <w:rsid w:val="001B52CD"/>
    <w:rsid w:val="001C3093"/>
    <w:rsid w:val="001C414C"/>
    <w:rsid w:val="001D2C44"/>
    <w:rsid w:val="001D3DCD"/>
    <w:rsid w:val="001D6247"/>
    <w:rsid w:val="001E2378"/>
    <w:rsid w:val="001E421F"/>
    <w:rsid w:val="001E47B6"/>
    <w:rsid w:val="001F5CB1"/>
    <w:rsid w:val="0020346E"/>
    <w:rsid w:val="00210A0C"/>
    <w:rsid w:val="00212CA6"/>
    <w:rsid w:val="00216789"/>
    <w:rsid w:val="002178DD"/>
    <w:rsid w:val="00221981"/>
    <w:rsid w:val="00222532"/>
    <w:rsid w:val="00224159"/>
    <w:rsid w:val="00224FEC"/>
    <w:rsid w:val="002276C2"/>
    <w:rsid w:val="00232D91"/>
    <w:rsid w:val="00237445"/>
    <w:rsid w:val="0024106A"/>
    <w:rsid w:val="0024338C"/>
    <w:rsid w:val="00243C4B"/>
    <w:rsid w:val="00244D31"/>
    <w:rsid w:val="00245C6E"/>
    <w:rsid w:val="00250259"/>
    <w:rsid w:val="00252A58"/>
    <w:rsid w:val="00260187"/>
    <w:rsid w:val="002603B9"/>
    <w:rsid w:val="00261E31"/>
    <w:rsid w:val="00266D1E"/>
    <w:rsid w:val="0027207F"/>
    <w:rsid w:val="0027380C"/>
    <w:rsid w:val="00275F63"/>
    <w:rsid w:val="0027770D"/>
    <w:rsid w:val="00291E49"/>
    <w:rsid w:val="0029267C"/>
    <w:rsid w:val="0029508B"/>
    <w:rsid w:val="002962A3"/>
    <w:rsid w:val="002A0E6E"/>
    <w:rsid w:val="002A16D5"/>
    <w:rsid w:val="002B06F9"/>
    <w:rsid w:val="002B3D51"/>
    <w:rsid w:val="002B5942"/>
    <w:rsid w:val="002B698C"/>
    <w:rsid w:val="002C1094"/>
    <w:rsid w:val="002C221B"/>
    <w:rsid w:val="002C2997"/>
    <w:rsid w:val="002C3E0D"/>
    <w:rsid w:val="002D0420"/>
    <w:rsid w:val="002D0595"/>
    <w:rsid w:val="002D2644"/>
    <w:rsid w:val="002D41FB"/>
    <w:rsid w:val="002E1E1D"/>
    <w:rsid w:val="002E449B"/>
    <w:rsid w:val="00300103"/>
    <w:rsid w:val="00303CA9"/>
    <w:rsid w:val="00305AF4"/>
    <w:rsid w:val="00305CB7"/>
    <w:rsid w:val="00305F8E"/>
    <w:rsid w:val="003063F2"/>
    <w:rsid w:val="0031010A"/>
    <w:rsid w:val="00322046"/>
    <w:rsid w:val="00324FCB"/>
    <w:rsid w:val="003301B9"/>
    <w:rsid w:val="00330719"/>
    <w:rsid w:val="00332ECE"/>
    <w:rsid w:val="00333BB0"/>
    <w:rsid w:val="00334C7D"/>
    <w:rsid w:val="00335991"/>
    <w:rsid w:val="003364FC"/>
    <w:rsid w:val="00337679"/>
    <w:rsid w:val="00337922"/>
    <w:rsid w:val="00337B1A"/>
    <w:rsid w:val="00340867"/>
    <w:rsid w:val="00341CCD"/>
    <w:rsid w:val="00342857"/>
    <w:rsid w:val="00343742"/>
    <w:rsid w:val="003471D1"/>
    <w:rsid w:val="00356840"/>
    <w:rsid w:val="00361028"/>
    <w:rsid w:val="00362325"/>
    <w:rsid w:val="003627B6"/>
    <w:rsid w:val="00362BE6"/>
    <w:rsid w:val="00362ED9"/>
    <w:rsid w:val="003708D5"/>
    <w:rsid w:val="003712C7"/>
    <w:rsid w:val="003715B9"/>
    <w:rsid w:val="00374046"/>
    <w:rsid w:val="00376A47"/>
    <w:rsid w:val="00380837"/>
    <w:rsid w:val="00381010"/>
    <w:rsid w:val="00382136"/>
    <w:rsid w:val="003836CA"/>
    <w:rsid w:val="0038425B"/>
    <w:rsid w:val="003849C2"/>
    <w:rsid w:val="00386A98"/>
    <w:rsid w:val="003872BE"/>
    <w:rsid w:val="003960CD"/>
    <w:rsid w:val="00396B29"/>
    <w:rsid w:val="003A0A39"/>
    <w:rsid w:val="003A20B3"/>
    <w:rsid w:val="003A5110"/>
    <w:rsid w:val="003A7DC8"/>
    <w:rsid w:val="003B10EF"/>
    <w:rsid w:val="003B2BCD"/>
    <w:rsid w:val="003B577D"/>
    <w:rsid w:val="003B69F5"/>
    <w:rsid w:val="003C524D"/>
    <w:rsid w:val="003C7E59"/>
    <w:rsid w:val="003C7F1E"/>
    <w:rsid w:val="003D2DF6"/>
    <w:rsid w:val="003D3B9E"/>
    <w:rsid w:val="003D5AFB"/>
    <w:rsid w:val="003D6BE3"/>
    <w:rsid w:val="003E64D0"/>
    <w:rsid w:val="003F20A5"/>
    <w:rsid w:val="003F3796"/>
    <w:rsid w:val="003F5ED7"/>
    <w:rsid w:val="004009D6"/>
    <w:rsid w:val="004012B5"/>
    <w:rsid w:val="00403752"/>
    <w:rsid w:val="00405D5F"/>
    <w:rsid w:val="004069DE"/>
    <w:rsid w:val="00407008"/>
    <w:rsid w:val="00410914"/>
    <w:rsid w:val="004116F7"/>
    <w:rsid w:val="00422E32"/>
    <w:rsid w:val="00430003"/>
    <w:rsid w:val="004304FA"/>
    <w:rsid w:val="00431734"/>
    <w:rsid w:val="0043494E"/>
    <w:rsid w:val="004375F1"/>
    <w:rsid w:val="0043786F"/>
    <w:rsid w:val="004378D6"/>
    <w:rsid w:val="00441C5F"/>
    <w:rsid w:val="00451D10"/>
    <w:rsid w:val="00465FE1"/>
    <w:rsid w:val="00467E3D"/>
    <w:rsid w:val="004724F4"/>
    <w:rsid w:val="00482E44"/>
    <w:rsid w:val="00485574"/>
    <w:rsid w:val="00490AA2"/>
    <w:rsid w:val="00491735"/>
    <w:rsid w:val="0049280D"/>
    <w:rsid w:val="0049365D"/>
    <w:rsid w:val="0049488A"/>
    <w:rsid w:val="00495688"/>
    <w:rsid w:val="004A39E1"/>
    <w:rsid w:val="004A4776"/>
    <w:rsid w:val="004B0102"/>
    <w:rsid w:val="004B11D8"/>
    <w:rsid w:val="004B217F"/>
    <w:rsid w:val="004C027B"/>
    <w:rsid w:val="004C07FE"/>
    <w:rsid w:val="004C2EEF"/>
    <w:rsid w:val="004C4609"/>
    <w:rsid w:val="004D0624"/>
    <w:rsid w:val="004D1394"/>
    <w:rsid w:val="004E039B"/>
    <w:rsid w:val="004E0DBF"/>
    <w:rsid w:val="004E5D23"/>
    <w:rsid w:val="004E7414"/>
    <w:rsid w:val="004F008A"/>
    <w:rsid w:val="004F11C7"/>
    <w:rsid w:val="004F12EB"/>
    <w:rsid w:val="004F1C93"/>
    <w:rsid w:val="004F4590"/>
    <w:rsid w:val="004F5EA0"/>
    <w:rsid w:val="005023C9"/>
    <w:rsid w:val="00505D04"/>
    <w:rsid w:val="00507BA0"/>
    <w:rsid w:val="005126CB"/>
    <w:rsid w:val="00513583"/>
    <w:rsid w:val="005137A3"/>
    <w:rsid w:val="00517783"/>
    <w:rsid w:val="00521CF0"/>
    <w:rsid w:val="00526991"/>
    <w:rsid w:val="00526C3C"/>
    <w:rsid w:val="005276EC"/>
    <w:rsid w:val="00527995"/>
    <w:rsid w:val="00527E23"/>
    <w:rsid w:val="00536930"/>
    <w:rsid w:val="00543CA4"/>
    <w:rsid w:val="0054446E"/>
    <w:rsid w:val="0054776F"/>
    <w:rsid w:val="00556EBF"/>
    <w:rsid w:val="00564E53"/>
    <w:rsid w:val="00564FC3"/>
    <w:rsid w:val="00574EE4"/>
    <w:rsid w:val="00577D5E"/>
    <w:rsid w:val="00583277"/>
    <w:rsid w:val="00583C54"/>
    <w:rsid w:val="005866E2"/>
    <w:rsid w:val="00587F11"/>
    <w:rsid w:val="0059097E"/>
    <w:rsid w:val="005919A2"/>
    <w:rsid w:val="00592180"/>
    <w:rsid w:val="00592C3E"/>
    <w:rsid w:val="005935CA"/>
    <w:rsid w:val="00594BD7"/>
    <w:rsid w:val="00595C05"/>
    <w:rsid w:val="00595C56"/>
    <w:rsid w:val="005A000F"/>
    <w:rsid w:val="005A5A31"/>
    <w:rsid w:val="005B01D8"/>
    <w:rsid w:val="005B6888"/>
    <w:rsid w:val="005C0BC9"/>
    <w:rsid w:val="005C27D9"/>
    <w:rsid w:val="005D01FC"/>
    <w:rsid w:val="005D4C40"/>
    <w:rsid w:val="005D657C"/>
    <w:rsid w:val="005E3B26"/>
    <w:rsid w:val="005E794C"/>
    <w:rsid w:val="005F3F2C"/>
    <w:rsid w:val="005F4CDA"/>
    <w:rsid w:val="005F685F"/>
    <w:rsid w:val="005F6C65"/>
    <w:rsid w:val="005F7148"/>
    <w:rsid w:val="00600F02"/>
    <w:rsid w:val="0060444D"/>
    <w:rsid w:val="00612015"/>
    <w:rsid w:val="006148DF"/>
    <w:rsid w:val="0061746B"/>
    <w:rsid w:val="006233A5"/>
    <w:rsid w:val="00623FE9"/>
    <w:rsid w:val="006302F5"/>
    <w:rsid w:val="00631206"/>
    <w:rsid w:val="006379CB"/>
    <w:rsid w:val="00642663"/>
    <w:rsid w:val="006426A9"/>
    <w:rsid w:val="00642776"/>
    <w:rsid w:val="00644FE2"/>
    <w:rsid w:val="006457AD"/>
    <w:rsid w:val="00645FB8"/>
    <w:rsid w:val="00647894"/>
    <w:rsid w:val="00651986"/>
    <w:rsid w:val="006545E8"/>
    <w:rsid w:val="00665980"/>
    <w:rsid w:val="00673927"/>
    <w:rsid w:val="0067640C"/>
    <w:rsid w:val="00686B64"/>
    <w:rsid w:val="0069039B"/>
    <w:rsid w:val="00692405"/>
    <w:rsid w:val="006946D4"/>
    <w:rsid w:val="00695256"/>
    <w:rsid w:val="00695303"/>
    <w:rsid w:val="00695570"/>
    <w:rsid w:val="00695E04"/>
    <w:rsid w:val="00696AF1"/>
    <w:rsid w:val="006A0FEF"/>
    <w:rsid w:val="006A3B31"/>
    <w:rsid w:val="006A57FE"/>
    <w:rsid w:val="006A68F3"/>
    <w:rsid w:val="006A71E1"/>
    <w:rsid w:val="006B4116"/>
    <w:rsid w:val="006B4127"/>
    <w:rsid w:val="006B43DD"/>
    <w:rsid w:val="006B6F42"/>
    <w:rsid w:val="006B753E"/>
    <w:rsid w:val="006C05AD"/>
    <w:rsid w:val="006C0D0C"/>
    <w:rsid w:val="006C12CF"/>
    <w:rsid w:val="006C1E32"/>
    <w:rsid w:val="006C3EDA"/>
    <w:rsid w:val="006C40B9"/>
    <w:rsid w:val="006C4DC3"/>
    <w:rsid w:val="006C7301"/>
    <w:rsid w:val="006D3922"/>
    <w:rsid w:val="006D5592"/>
    <w:rsid w:val="006D6514"/>
    <w:rsid w:val="006D75E6"/>
    <w:rsid w:val="006E678B"/>
    <w:rsid w:val="006E798E"/>
    <w:rsid w:val="006F2512"/>
    <w:rsid w:val="006F6902"/>
    <w:rsid w:val="0070133F"/>
    <w:rsid w:val="00703579"/>
    <w:rsid w:val="00703EF0"/>
    <w:rsid w:val="0070495A"/>
    <w:rsid w:val="00704E02"/>
    <w:rsid w:val="00711F4C"/>
    <w:rsid w:val="0071239D"/>
    <w:rsid w:val="00716C45"/>
    <w:rsid w:val="007170AA"/>
    <w:rsid w:val="00721DE7"/>
    <w:rsid w:val="00722762"/>
    <w:rsid w:val="00722A8E"/>
    <w:rsid w:val="0072354E"/>
    <w:rsid w:val="00725B27"/>
    <w:rsid w:val="00732A46"/>
    <w:rsid w:val="00732B66"/>
    <w:rsid w:val="00734C50"/>
    <w:rsid w:val="00737195"/>
    <w:rsid w:val="007406DE"/>
    <w:rsid w:val="007415BA"/>
    <w:rsid w:val="00742AEF"/>
    <w:rsid w:val="00743A75"/>
    <w:rsid w:val="00743E79"/>
    <w:rsid w:val="00750187"/>
    <w:rsid w:val="00751C37"/>
    <w:rsid w:val="00753327"/>
    <w:rsid w:val="00753493"/>
    <w:rsid w:val="00754FF4"/>
    <w:rsid w:val="00762DD4"/>
    <w:rsid w:val="0076572D"/>
    <w:rsid w:val="0077458C"/>
    <w:rsid w:val="007757F3"/>
    <w:rsid w:val="007815DC"/>
    <w:rsid w:val="00782659"/>
    <w:rsid w:val="007924AF"/>
    <w:rsid w:val="007946CE"/>
    <w:rsid w:val="007A256F"/>
    <w:rsid w:val="007A3326"/>
    <w:rsid w:val="007A47FB"/>
    <w:rsid w:val="007A69EB"/>
    <w:rsid w:val="007B106B"/>
    <w:rsid w:val="007B275D"/>
    <w:rsid w:val="007C05E4"/>
    <w:rsid w:val="007C19DA"/>
    <w:rsid w:val="007D0F5A"/>
    <w:rsid w:val="007D29E0"/>
    <w:rsid w:val="007E2A0C"/>
    <w:rsid w:val="007E6AEB"/>
    <w:rsid w:val="007F01EC"/>
    <w:rsid w:val="007F0D4C"/>
    <w:rsid w:val="007F14B4"/>
    <w:rsid w:val="007F7DF2"/>
    <w:rsid w:val="008027A4"/>
    <w:rsid w:val="008027E6"/>
    <w:rsid w:val="008062F9"/>
    <w:rsid w:val="008079FA"/>
    <w:rsid w:val="00816978"/>
    <w:rsid w:val="00823493"/>
    <w:rsid w:val="00825220"/>
    <w:rsid w:val="00836FD5"/>
    <w:rsid w:val="00837894"/>
    <w:rsid w:val="008415E2"/>
    <w:rsid w:val="0084486D"/>
    <w:rsid w:val="00851668"/>
    <w:rsid w:val="00851943"/>
    <w:rsid w:val="00852183"/>
    <w:rsid w:val="0086271A"/>
    <w:rsid w:val="00864902"/>
    <w:rsid w:val="00865975"/>
    <w:rsid w:val="00865A01"/>
    <w:rsid w:val="00865D15"/>
    <w:rsid w:val="00867B86"/>
    <w:rsid w:val="00874367"/>
    <w:rsid w:val="00876CBF"/>
    <w:rsid w:val="00877B85"/>
    <w:rsid w:val="00877E5F"/>
    <w:rsid w:val="00880DF0"/>
    <w:rsid w:val="008951DF"/>
    <w:rsid w:val="00896908"/>
    <w:rsid w:val="008973EE"/>
    <w:rsid w:val="008A4EB4"/>
    <w:rsid w:val="008A7B29"/>
    <w:rsid w:val="008B21EA"/>
    <w:rsid w:val="008B30A0"/>
    <w:rsid w:val="008B5618"/>
    <w:rsid w:val="008C4A89"/>
    <w:rsid w:val="008C68D6"/>
    <w:rsid w:val="008D0060"/>
    <w:rsid w:val="008D089D"/>
    <w:rsid w:val="008D2567"/>
    <w:rsid w:val="008D6FBF"/>
    <w:rsid w:val="008E6790"/>
    <w:rsid w:val="008F0B04"/>
    <w:rsid w:val="008F5CCC"/>
    <w:rsid w:val="008F63F1"/>
    <w:rsid w:val="008F7462"/>
    <w:rsid w:val="0090240C"/>
    <w:rsid w:val="0090649C"/>
    <w:rsid w:val="009078E2"/>
    <w:rsid w:val="0091491F"/>
    <w:rsid w:val="00922456"/>
    <w:rsid w:val="00922B85"/>
    <w:rsid w:val="00930694"/>
    <w:rsid w:val="0093521F"/>
    <w:rsid w:val="0094040B"/>
    <w:rsid w:val="00941489"/>
    <w:rsid w:val="00945677"/>
    <w:rsid w:val="00962F78"/>
    <w:rsid w:val="00964A29"/>
    <w:rsid w:val="00965048"/>
    <w:rsid w:val="0096609F"/>
    <w:rsid w:val="00967D42"/>
    <w:rsid w:val="00971600"/>
    <w:rsid w:val="0097729B"/>
    <w:rsid w:val="009973B4"/>
    <w:rsid w:val="009A30D3"/>
    <w:rsid w:val="009A3DD9"/>
    <w:rsid w:val="009A4562"/>
    <w:rsid w:val="009A4A4C"/>
    <w:rsid w:val="009B167A"/>
    <w:rsid w:val="009B3422"/>
    <w:rsid w:val="009B3DDD"/>
    <w:rsid w:val="009B49F8"/>
    <w:rsid w:val="009B6639"/>
    <w:rsid w:val="009B6CB4"/>
    <w:rsid w:val="009B7388"/>
    <w:rsid w:val="009C3819"/>
    <w:rsid w:val="009C720E"/>
    <w:rsid w:val="009C7D3D"/>
    <w:rsid w:val="009D3BA2"/>
    <w:rsid w:val="009D3D3D"/>
    <w:rsid w:val="009E02D5"/>
    <w:rsid w:val="009E1321"/>
    <w:rsid w:val="009E30DA"/>
    <w:rsid w:val="009E4516"/>
    <w:rsid w:val="009E5FFB"/>
    <w:rsid w:val="009F7EED"/>
    <w:rsid w:val="00A10AD9"/>
    <w:rsid w:val="00A138EC"/>
    <w:rsid w:val="00A17347"/>
    <w:rsid w:val="00A22C54"/>
    <w:rsid w:val="00A303E7"/>
    <w:rsid w:val="00A3050C"/>
    <w:rsid w:val="00A321CB"/>
    <w:rsid w:val="00A35FBB"/>
    <w:rsid w:val="00A41863"/>
    <w:rsid w:val="00A42FB7"/>
    <w:rsid w:val="00A538CD"/>
    <w:rsid w:val="00A54E47"/>
    <w:rsid w:val="00A562B1"/>
    <w:rsid w:val="00A62FD9"/>
    <w:rsid w:val="00A633B0"/>
    <w:rsid w:val="00A709C1"/>
    <w:rsid w:val="00A7189D"/>
    <w:rsid w:val="00A741A1"/>
    <w:rsid w:val="00A75ECA"/>
    <w:rsid w:val="00A76AE1"/>
    <w:rsid w:val="00A7787E"/>
    <w:rsid w:val="00A77C65"/>
    <w:rsid w:val="00A801DE"/>
    <w:rsid w:val="00A80B3F"/>
    <w:rsid w:val="00A8159C"/>
    <w:rsid w:val="00A82494"/>
    <w:rsid w:val="00A83562"/>
    <w:rsid w:val="00A86A9D"/>
    <w:rsid w:val="00A90A22"/>
    <w:rsid w:val="00A9118B"/>
    <w:rsid w:val="00A918ED"/>
    <w:rsid w:val="00AA2E7E"/>
    <w:rsid w:val="00AB1BBD"/>
    <w:rsid w:val="00AB1BCB"/>
    <w:rsid w:val="00AB41FC"/>
    <w:rsid w:val="00AB4846"/>
    <w:rsid w:val="00AB7D2F"/>
    <w:rsid w:val="00AC0AA8"/>
    <w:rsid w:val="00AC0FC6"/>
    <w:rsid w:val="00AD14B8"/>
    <w:rsid w:val="00AD34C8"/>
    <w:rsid w:val="00AE0AD3"/>
    <w:rsid w:val="00AE250B"/>
    <w:rsid w:val="00AE50ED"/>
    <w:rsid w:val="00AF0324"/>
    <w:rsid w:val="00AF0A65"/>
    <w:rsid w:val="00AF0AAB"/>
    <w:rsid w:val="00AF3544"/>
    <w:rsid w:val="00B00556"/>
    <w:rsid w:val="00B04098"/>
    <w:rsid w:val="00B04731"/>
    <w:rsid w:val="00B0685B"/>
    <w:rsid w:val="00B13BC7"/>
    <w:rsid w:val="00B14883"/>
    <w:rsid w:val="00B1616F"/>
    <w:rsid w:val="00B17492"/>
    <w:rsid w:val="00B20341"/>
    <w:rsid w:val="00B21D45"/>
    <w:rsid w:val="00B24CAF"/>
    <w:rsid w:val="00B24FFC"/>
    <w:rsid w:val="00B25B6B"/>
    <w:rsid w:val="00B27D84"/>
    <w:rsid w:val="00B33301"/>
    <w:rsid w:val="00B35FC9"/>
    <w:rsid w:val="00B36D3E"/>
    <w:rsid w:val="00B40603"/>
    <w:rsid w:val="00B4092E"/>
    <w:rsid w:val="00B44558"/>
    <w:rsid w:val="00B45C60"/>
    <w:rsid w:val="00B51039"/>
    <w:rsid w:val="00B66466"/>
    <w:rsid w:val="00B7232D"/>
    <w:rsid w:val="00B7232F"/>
    <w:rsid w:val="00B74396"/>
    <w:rsid w:val="00B75693"/>
    <w:rsid w:val="00B8202D"/>
    <w:rsid w:val="00B87603"/>
    <w:rsid w:val="00B8765E"/>
    <w:rsid w:val="00B9382C"/>
    <w:rsid w:val="00B94ED3"/>
    <w:rsid w:val="00B9599B"/>
    <w:rsid w:val="00B95F69"/>
    <w:rsid w:val="00BA0BCB"/>
    <w:rsid w:val="00BA46EC"/>
    <w:rsid w:val="00BB27AA"/>
    <w:rsid w:val="00BC2015"/>
    <w:rsid w:val="00BC69E5"/>
    <w:rsid w:val="00BC7D2B"/>
    <w:rsid w:val="00BD011E"/>
    <w:rsid w:val="00BD1BD9"/>
    <w:rsid w:val="00BD2873"/>
    <w:rsid w:val="00BE16F2"/>
    <w:rsid w:val="00BE4A4C"/>
    <w:rsid w:val="00BF3FAF"/>
    <w:rsid w:val="00BF597E"/>
    <w:rsid w:val="00BF7151"/>
    <w:rsid w:val="00BF77B1"/>
    <w:rsid w:val="00C02BCB"/>
    <w:rsid w:val="00C078CC"/>
    <w:rsid w:val="00C07E77"/>
    <w:rsid w:val="00C1322F"/>
    <w:rsid w:val="00C134A2"/>
    <w:rsid w:val="00C16BC1"/>
    <w:rsid w:val="00C22509"/>
    <w:rsid w:val="00C233CB"/>
    <w:rsid w:val="00C25898"/>
    <w:rsid w:val="00C31C73"/>
    <w:rsid w:val="00C32115"/>
    <w:rsid w:val="00C32D23"/>
    <w:rsid w:val="00C34C9F"/>
    <w:rsid w:val="00C366B3"/>
    <w:rsid w:val="00C37415"/>
    <w:rsid w:val="00C51A36"/>
    <w:rsid w:val="00C52ACE"/>
    <w:rsid w:val="00C5351B"/>
    <w:rsid w:val="00C53CCA"/>
    <w:rsid w:val="00C548BE"/>
    <w:rsid w:val="00C55228"/>
    <w:rsid w:val="00C57265"/>
    <w:rsid w:val="00C57F13"/>
    <w:rsid w:val="00C62BD1"/>
    <w:rsid w:val="00C67E19"/>
    <w:rsid w:val="00C67E47"/>
    <w:rsid w:val="00C71E85"/>
    <w:rsid w:val="00C75651"/>
    <w:rsid w:val="00C86F9B"/>
    <w:rsid w:val="00C905E3"/>
    <w:rsid w:val="00C9158B"/>
    <w:rsid w:val="00C93DAB"/>
    <w:rsid w:val="00C9448F"/>
    <w:rsid w:val="00CA079B"/>
    <w:rsid w:val="00CA3129"/>
    <w:rsid w:val="00CA598B"/>
    <w:rsid w:val="00CA676F"/>
    <w:rsid w:val="00CB0BB0"/>
    <w:rsid w:val="00CB260B"/>
    <w:rsid w:val="00CB51CA"/>
    <w:rsid w:val="00CB5A61"/>
    <w:rsid w:val="00CB68C1"/>
    <w:rsid w:val="00CC7248"/>
    <w:rsid w:val="00CC7261"/>
    <w:rsid w:val="00CD5516"/>
    <w:rsid w:val="00CE084D"/>
    <w:rsid w:val="00CE315A"/>
    <w:rsid w:val="00CE3359"/>
    <w:rsid w:val="00CE53B2"/>
    <w:rsid w:val="00CE7BE1"/>
    <w:rsid w:val="00CF1726"/>
    <w:rsid w:val="00CF3236"/>
    <w:rsid w:val="00CF34E3"/>
    <w:rsid w:val="00CF6C5C"/>
    <w:rsid w:val="00D015AF"/>
    <w:rsid w:val="00D01731"/>
    <w:rsid w:val="00D0514D"/>
    <w:rsid w:val="00D06F59"/>
    <w:rsid w:val="00D12B63"/>
    <w:rsid w:val="00D14213"/>
    <w:rsid w:val="00D1658A"/>
    <w:rsid w:val="00D24D0E"/>
    <w:rsid w:val="00D257EB"/>
    <w:rsid w:val="00D25AE1"/>
    <w:rsid w:val="00D3392D"/>
    <w:rsid w:val="00D33B2E"/>
    <w:rsid w:val="00D35291"/>
    <w:rsid w:val="00D35CC0"/>
    <w:rsid w:val="00D453D7"/>
    <w:rsid w:val="00D52340"/>
    <w:rsid w:val="00D546BA"/>
    <w:rsid w:val="00D54F54"/>
    <w:rsid w:val="00D55E69"/>
    <w:rsid w:val="00D562F6"/>
    <w:rsid w:val="00D613CA"/>
    <w:rsid w:val="00D620E2"/>
    <w:rsid w:val="00D645FD"/>
    <w:rsid w:val="00D67E9B"/>
    <w:rsid w:val="00D705C5"/>
    <w:rsid w:val="00D80A06"/>
    <w:rsid w:val="00D8388C"/>
    <w:rsid w:val="00D850A2"/>
    <w:rsid w:val="00D85D9E"/>
    <w:rsid w:val="00D93137"/>
    <w:rsid w:val="00D95C39"/>
    <w:rsid w:val="00D95E05"/>
    <w:rsid w:val="00D969D2"/>
    <w:rsid w:val="00DA0A8D"/>
    <w:rsid w:val="00DA1B52"/>
    <w:rsid w:val="00DA508D"/>
    <w:rsid w:val="00DA79DB"/>
    <w:rsid w:val="00DB1644"/>
    <w:rsid w:val="00DB2563"/>
    <w:rsid w:val="00DB2B24"/>
    <w:rsid w:val="00DB6D65"/>
    <w:rsid w:val="00DC0D79"/>
    <w:rsid w:val="00DC2577"/>
    <w:rsid w:val="00DC261B"/>
    <w:rsid w:val="00DC38CC"/>
    <w:rsid w:val="00DC5042"/>
    <w:rsid w:val="00DC6D9C"/>
    <w:rsid w:val="00DD2936"/>
    <w:rsid w:val="00DD31DC"/>
    <w:rsid w:val="00DD6AE9"/>
    <w:rsid w:val="00DE11F8"/>
    <w:rsid w:val="00DE28C3"/>
    <w:rsid w:val="00DE2D80"/>
    <w:rsid w:val="00DE6067"/>
    <w:rsid w:val="00DE6542"/>
    <w:rsid w:val="00DE669D"/>
    <w:rsid w:val="00DE6E1A"/>
    <w:rsid w:val="00DF0279"/>
    <w:rsid w:val="00DF1A6F"/>
    <w:rsid w:val="00DF255E"/>
    <w:rsid w:val="00DF689E"/>
    <w:rsid w:val="00DF7552"/>
    <w:rsid w:val="00E0248A"/>
    <w:rsid w:val="00E038E4"/>
    <w:rsid w:val="00E054F7"/>
    <w:rsid w:val="00E06F75"/>
    <w:rsid w:val="00E1334D"/>
    <w:rsid w:val="00E14FFB"/>
    <w:rsid w:val="00E17D47"/>
    <w:rsid w:val="00E2469C"/>
    <w:rsid w:val="00E26678"/>
    <w:rsid w:val="00E317C9"/>
    <w:rsid w:val="00E36534"/>
    <w:rsid w:val="00E4035E"/>
    <w:rsid w:val="00E40A94"/>
    <w:rsid w:val="00E43822"/>
    <w:rsid w:val="00E43D5A"/>
    <w:rsid w:val="00E474A9"/>
    <w:rsid w:val="00E50A87"/>
    <w:rsid w:val="00E547D2"/>
    <w:rsid w:val="00E611BA"/>
    <w:rsid w:val="00E611E4"/>
    <w:rsid w:val="00E61C0C"/>
    <w:rsid w:val="00E63714"/>
    <w:rsid w:val="00E65DB7"/>
    <w:rsid w:val="00E75415"/>
    <w:rsid w:val="00E83B47"/>
    <w:rsid w:val="00E86BC9"/>
    <w:rsid w:val="00E90598"/>
    <w:rsid w:val="00E9727C"/>
    <w:rsid w:val="00E97424"/>
    <w:rsid w:val="00EA04B1"/>
    <w:rsid w:val="00EA4601"/>
    <w:rsid w:val="00EA55F7"/>
    <w:rsid w:val="00EA7C25"/>
    <w:rsid w:val="00EB0164"/>
    <w:rsid w:val="00EB023C"/>
    <w:rsid w:val="00EC39E9"/>
    <w:rsid w:val="00EC42F5"/>
    <w:rsid w:val="00EC75C7"/>
    <w:rsid w:val="00EC7A65"/>
    <w:rsid w:val="00ED0F62"/>
    <w:rsid w:val="00ED1F84"/>
    <w:rsid w:val="00EE07A4"/>
    <w:rsid w:val="00EF2BDD"/>
    <w:rsid w:val="00EF35E4"/>
    <w:rsid w:val="00EF7753"/>
    <w:rsid w:val="00F074A0"/>
    <w:rsid w:val="00F07A58"/>
    <w:rsid w:val="00F16B93"/>
    <w:rsid w:val="00F16D87"/>
    <w:rsid w:val="00F25812"/>
    <w:rsid w:val="00F26299"/>
    <w:rsid w:val="00F31A5C"/>
    <w:rsid w:val="00F3388A"/>
    <w:rsid w:val="00F33CC6"/>
    <w:rsid w:val="00F401CE"/>
    <w:rsid w:val="00F417F3"/>
    <w:rsid w:val="00F422CC"/>
    <w:rsid w:val="00F42D4A"/>
    <w:rsid w:val="00F43FB5"/>
    <w:rsid w:val="00F53331"/>
    <w:rsid w:val="00F606E1"/>
    <w:rsid w:val="00F62627"/>
    <w:rsid w:val="00F64B6A"/>
    <w:rsid w:val="00F66839"/>
    <w:rsid w:val="00F70ABB"/>
    <w:rsid w:val="00F8044C"/>
    <w:rsid w:val="00F83639"/>
    <w:rsid w:val="00F840C3"/>
    <w:rsid w:val="00F937DF"/>
    <w:rsid w:val="00F956F5"/>
    <w:rsid w:val="00FA0833"/>
    <w:rsid w:val="00FA0944"/>
    <w:rsid w:val="00FA350D"/>
    <w:rsid w:val="00FB7025"/>
    <w:rsid w:val="00FC39AD"/>
    <w:rsid w:val="00FC447B"/>
    <w:rsid w:val="00FC50D3"/>
    <w:rsid w:val="00FC712F"/>
    <w:rsid w:val="00FD2869"/>
    <w:rsid w:val="00FD51D6"/>
    <w:rsid w:val="00FD5EE5"/>
    <w:rsid w:val="00FD72A6"/>
    <w:rsid w:val="00FE2C5C"/>
    <w:rsid w:val="00FE3A25"/>
    <w:rsid w:val="00FE7F9B"/>
    <w:rsid w:val="00FF1C54"/>
    <w:rsid w:val="00FF377D"/>
    <w:rsid w:val="01271A47"/>
    <w:rsid w:val="040A0348"/>
    <w:rsid w:val="053A2D97"/>
    <w:rsid w:val="056F23BA"/>
    <w:rsid w:val="07C917E7"/>
    <w:rsid w:val="086D1978"/>
    <w:rsid w:val="0A9239D5"/>
    <w:rsid w:val="0AAE4AE4"/>
    <w:rsid w:val="0C3756D8"/>
    <w:rsid w:val="0E6B29EA"/>
    <w:rsid w:val="108219C2"/>
    <w:rsid w:val="10A24FF4"/>
    <w:rsid w:val="138364CC"/>
    <w:rsid w:val="1400278B"/>
    <w:rsid w:val="1483457E"/>
    <w:rsid w:val="1A9411A9"/>
    <w:rsid w:val="1F446E0A"/>
    <w:rsid w:val="21D31D11"/>
    <w:rsid w:val="246F5F9E"/>
    <w:rsid w:val="248A5BEA"/>
    <w:rsid w:val="2505512C"/>
    <w:rsid w:val="264B6AD4"/>
    <w:rsid w:val="301554FF"/>
    <w:rsid w:val="320B0B24"/>
    <w:rsid w:val="338E45A3"/>
    <w:rsid w:val="347C3C24"/>
    <w:rsid w:val="365F6EE1"/>
    <w:rsid w:val="38AC5926"/>
    <w:rsid w:val="39C309BE"/>
    <w:rsid w:val="3BA26FC9"/>
    <w:rsid w:val="415E2D13"/>
    <w:rsid w:val="43E437CA"/>
    <w:rsid w:val="446D41DE"/>
    <w:rsid w:val="46C35FDE"/>
    <w:rsid w:val="475367FD"/>
    <w:rsid w:val="4B6B3BB6"/>
    <w:rsid w:val="4BEB67BC"/>
    <w:rsid w:val="4D4B64E8"/>
    <w:rsid w:val="4F052F87"/>
    <w:rsid w:val="4FE311A9"/>
    <w:rsid w:val="500411AB"/>
    <w:rsid w:val="522349BA"/>
    <w:rsid w:val="5EA12B9A"/>
    <w:rsid w:val="615F456F"/>
    <w:rsid w:val="63231851"/>
    <w:rsid w:val="67D95E97"/>
    <w:rsid w:val="695947AC"/>
    <w:rsid w:val="69770728"/>
    <w:rsid w:val="6A0F76E9"/>
    <w:rsid w:val="6C7F4B01"/>
    <w:rsid w:val="6EC3653C"/>
    <w:rsid w:val="6F1B0F99"/>
    <w:rsid w:val="6FAC345F"/>
    <w:rsid w:val="702458A7"/>
    <w:rsid w:val="72BE052D"/>
    <w:rsid w:val="76332E47"/>
    <w:rsid w:val="7AE1687D"/>
    <w:rsid w:val="7DED7751"/>
    <w:rsid w:val="7FA853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2"/>
    <w:qFormat/>
    <w:uiPriority w:val="0"/>
    <w:pPr>
      <w:keepNext/>
      <w:keepLines/>
      <w:widowControl/>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8"/>
    <w:qFormat/>
    <w:uiPriority w:val="0"/>
    <w:pPr>
      <w:widowControl/>
      <w:spacing w:after="120"/>
      <w:ind w:left="420" w:leftChars="200"/>
    </w:pPr>
    <w:rPr>
      <w:rFonts w:ascii="Calibri" w:hAnsi="Calibri"/>
    </w:rPr>
  </w:style>
  <w:style w:type="paragraph" w:styleId="4">
    <w:name w:val="Plain Text"/>
    <w:basedOn w:val="1"/>
    <w:link w:val="15"/>
    <w:qFormat/>
    <w:uiPriority w:val="0"/>
    <w:pPr>
      <w:widowControl/>
      <w:jc w:val="left"/>
    </w:pPr>
    <w:rPr>
      <w:rFonts w:ascii="宋体" w:hAnsi="Courier New"/>
      <w:kern w:val="0"/>
      <w:sz w:val="20"/>
      <w:lang w:eastAsia="en-US"/>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纯文本 Char"/>
    <w:basedOn w:val="10"/>
    <w:link w:val="4"/>
    <w:qFormat/>
    <w:uiPriority w:val="0"/>
    <w:rPr>
      <w:rFonts w:ascii="宋体" w:hAnsi="Courier New" w:eastAsia="宋体" w:cs="Times New Roman"/>
      <w:lang w:eastAsia="en-US"/>
    </w:rPr>
  </w:style>
  <w:style w:type="paragraph" w:customStyle="1" w:styleId="16">
    <w:name w:val="_Style 2"/>
    <w:basedOn w:val="1"/>
    <w:qFormat/>
    <w:uiPriority w:val="0"/>
    <w:pPr>
      <w:widowControl/>
      <w:ind w:firstLine="420" w:firstLineChars="200"/>
      <w:jc w:val="left"/>
    </w:pPr>
    <w:rPr>
      <w:kern w:val="0"/>
      <w:sz w:val="20"/>
      <w:lang w:eastAsia="en-US"/>
    </w:rPr>
  </w:style>
  <w:style w:type="paragraph" w:styleId="17">
    <w:name w:val="List Paragraph"/>
    <w:basedOn w:val="1"/>
    <w:unhideWhenUsed/>
    <w:qFormat/>
    <w:uiPriority w:val="99"/>
    <w:pPr>
      <w:ind w:firstLine="420" w:firstLineChars="200"/>
    </w:pPr>
  </w:style>
  <w:style w:type="character" w:customStyle="1" w:styleId="18">
    <w:name w:val="正文文本缩进 Char"/>
    <w:basedOn w:val="10"/>
    <w:link w:val="3"/>
    <w:qFormat/>
    <w:uiPriority w:val="0"/>
    <w:rPr>
      <w:rFonts w:ascii="Calibri" w:hAnsi="Calibri" w:eastAsia="宋体" w:cs="Times New Roman"/>
      <w:kern w:val="2"/>
      <w:sz w:val="21"/>
    </w:rPr>
  </w:style>
  <w:style w:type="paragraph" w:customStyle="1" w:styleId="19">
    <w:name w:val="表格文字"/>
    <w:basedOn w:val="1"/>
    <w:qFormat/>
    <w:uiPriority w:val="0"/>
    <w:pPr>
      <w:widowControl/>
      <w:spacing w:beforeLines="25" w:afterLines="25" w:line="360" w:lineRule="auto"/>
    </w:pPr>
    <w:rPr>
      <w:rFonts w:ascii="Calibri" w:hAnsi="Calibri"/>
      <w:spacing w:val="10"/>
      <w:szCs w:val="24"/>
    </w:rPr>
  </w:style>
  <w:style w:type="character" w:customStyle="1" w:styleId="20">
    <w:name w:val="Char Char"/>
    <w:qFormat/>
    <w:uiPriority w:val="0"/>
    <w:rPr>
      <w:rFonts w:eastAsia="宋体"/>
      <w:sz w:val="21"/>
      <w:lang w:val="en-US" w:eastAsia="zh-CN" w:bidi="ar-SA"/>
    </w:rPr>
  </w:style>
  <w:style w:type="paragraph" w:customStyle="1" w:styleId="21">
    <w:name w:val="main"/>
    <w:basedOn w:val="1"/>
    <w:qFormat/>
    <w:uiPriority w:val="0"/>
    <w:pPr>
      <w:widowControl/>
      <w:spacing w:before="100" w:beforeAutospacing="1" w:after="100" w:afterAutospacing="1" w:line="320" w:lineRule="atLeast"/>
      <w:jc w:val="left"/>
    </w:pPr>
    <w:rPr>
      <w:rFonts w:ascii="ˎ̥" w:hAnsi="ˎ̥"/>
      <w:kern w:val="0"/>
      <w:szCs w:val="21"/>
    </w:rPr>
  </w:style>
  <w:style w:type="character" w:customStyle="1" w:styleId="22">
    <w:name w:val="标题 2 Char"/>
    <w:basedOn w:val="10"/>
    <w:link w:val="2"/>
    <w:qFormat/>
    <w:uiPriority w:val="0"/>
    <w:rPr>
      <w:rFonts w:ascii="Arial" w:hAnsi="Arial" w:eastAsia="黑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904234-05D1-47DA-A7E2-272C624657D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2140</Words>
  <Characters>12198</Characters>
  <Lines>101</Lines>
  <Paragraphs>28</Paragraphs>
  <TotalTime>2</TotalTime>
  <ScaleCrop>false</ScaleCrop>
  <LinksUpToDate>false</LinksUpToDate>
  <CharactersWithSpaces>14310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2021-08-09T01:16:50Z</dcterms:modified>
  <cp:revision>1185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6D7DA2F66A8D4398A78B3FA34B9FF8FC</vt:lpwstr>
  </property>
</Properties>
</file>