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bCs/>
          <w:color w:val="000000"/>
          <w:sz w:val="24"/>
          <w:szCs w:val="24"/>
        </w:rPr>
      </w:pPr>
      <w:r>
        <w:rPr>
          <w:rFonts w:hint="eastAsia" w:ascii="楷体" w:hAnsi="楷体" w:eastAsia="楷体"/>
          <w:bCs/>
          <w:color w:val="000000"/>
          <w:sz w:val="24"/>
          <w:szCs w:val="24"/>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228"/>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2" w:type="dxa"/>
            <w:vMerge w:val="restart"/>
            <w:vAlign w:val="center"/>
          </w:tcPr>
          <w:p>
            <w:pPr>
              <w:spacing w:before="120" w:line="360" w:lineRule="auto"/>
              <w:jc w:val="center"/>
              <w:rPr>
                <w:rFonts w:ascii="楷体" w:hAnsi="楷体" w:eastAsia="楷体" w:cs="宋体"/>
                <w:sz w:val="24"/>
                <w:szCs w:val="24"/>
              </w:rPr>
            </w:pPr>
            <w:r>
              <w:rPr>
                <w:rFonts w:hint="eastAsia" w:ascii="楷体" w:hAnsi="楷体" w:eastAsia="楷体" w:cs="宋体"/>
                <w:sz w:val="24"/>
                <w:szCs w:val="24"/>
              </w:rPr>
              <w:t>过程与活动、</w:t>
            </w:r>
          </w:p>
          <w:p>
            <w:pPr>
              <w:spacing w:line="360" w:lineRule="auto"/>
              <w:jc w:val="center"/>
              <w:rPr>
                <w:rFonts w:ascii="楷体" w:hAnsi="楷体" w:eastAsia="楷体" w:cs="宋体"/>
                <w:sz w:val="24"/>
                <w:szCs w:val="24"/>
              </w:rPr>
            </w:pPr>
            <w:r>
              <w:rPr>
                <w:rFonts w:hint="eastAsia" w:ascii="楷体" w:hAnsi="楷体" w:eastAsia="楷体" w:cs="宋体"/>
                <w:sz w:val="24"/>
                <w:szCs w:val="24"/>
              </w:rPr>
              <w:t>抽样计划</w:t>
            </w:r>
          </w:p>
        </w:tc>
        <w:tc>
          <w:tcPr>
            <w:tcW w:w="1228" w:type="dxa"/>
            <w:vMerge w:val="restart"/>
            <w:vAlign w:val="center"/>
          </w:tcPr>
          <w:p>
            <w:pPr>
              <w:spacing w:line="360" w:lineRule="auto"/>
              <w:rPr>
                <w:rFonts w:ascii="楷体" w:hAnsi="楷体" w:eastAsia="楷体" w:cs="宋体"/>
                <w:sz w:val="24"/>
                <w:szCs w:val="24"/>
              </w:rPr>
            </w:pPr>
            <w:r>
              <w:rPr>
                <w:rFonts w:hint="eastAsia" w:ascii="楷体" w:hAnsi="楷体" w:eastAsia="楷体" w:cs="宋体"/>
                <w:sz w:val="24"/>
                <w:szCs w:val="24"/>
              </w:rPr>
              <w:t>涉及</w:t>
            </w:r>
          </w:p>
          <w:p>
            <w:pPr>
              <w:spacing w:line="360" w:lineRule="auto"/>
              <w:rPr>
                <w:rFonts w:ascii="楷体" w:hAnsi="楷体" w:eastAsia="楷体" w:cs="宋体"/>
                <w:sz w:val="24"/>
                <w:szCs w:val="24"/>
              </w:rPr>
            </w:pPr>
            <w:r>
              <w:rPr>
                <w:rFonts w:hint="eastAsia" w:ascii="楷体" w:hAnsi="楷体" w:eastAsia="楷体" w:cs="宋体"/>
                <w:sz w:val="24"/>
                <w:szCs w:val="24"/>
              </w:rPr>
              <w:t>条款</w:t>
            </w:r>
          </w:p>
        </w:tc>
        <w:tc>
          <w:tcPr>
            <w:tcW w:w="10943" w:type="dxa"/>
            <w:vAlign w:val="center"/>
          </w:tcPr>
          <w:p>
            <w:pPr>
              <w:spacing w:line="360" w:lineRule="auto"/>
              <w:rPr>
                <w:rFonts w:hint="default" w:ascii="楷体" w:hAnsi="楷体" w:eastAsia="楷体" w:cs="宋体"/>
                <w:sz w:val="24"/>
                <w:szCs w:val="24"/>
                <w:lang w:val="en-US" w:eastAsia="zh-CN"/>
              </w:rPr>
            </w:pPr>
            <w:r>
              <w:rPr>
                <w:rFonts w:hint="eastAsia" w:ascii="楷体" w:hAnsi="楷体" w:eastAsia="楷体" w:cs="宋体"/>
                <w:sz w:val="24"/>
                <w:szCs w:val="24"/>
              </w:rPr>
              <w:t>受审核部门：管理层    总经理：王磊  管理者代表：</w:t>
            </w:r>
            <w:r>
              <w:rPr>
                <w:rFonts w:hint="eastAsia" w:ascii="楷体" w:hAnsi="楷体" w:eastAsia="楷体"/>
                <w:bCs/>
                <w:sz w:val="24"/>
                <w:szCs w:val="24"/>
              </w:rPr>
              <w:t>张福林  员工职业健康安全事务</w:t>
            </w:r>
            <w:r>
              <w:rPr>
                <w:rFonts w:hint="eastAsia" w:ascii="楷体" w:hAnsi="楷体" w:eastAsia="楷体"/>
                <w:sz w:val="24"/>
                <w:szCs w:val="24"/>
              </w:rPr>
              <w:t>代表</w:t>
            </w:r>
            <w:r>
              <w:rPr>
                <w:rFonts w:hint="eastAsia" w:ascii="楷体" w:hAnsi="楷体" w:eastAsia="楷体"/>
                <w:bCs/>
                <w:sz w:val="24"/>
                <w:szCs w:val="24"/>
              </w:rPr>
              <w:t>：</w:t>
            </w:r>
            <w:r>
              <w:rPr>
                <w:rFonts w:hint="eastAsia" w:ascii="楷体" w:hAnsi="楷体" w:eastAsia="楷体"/>
                <w:bCs/>
                <w:sz w:val="24"/>
                <w:szCs w:val="24"/>
                <w:lang w:val="en-US" w:eastAsia="zh-CN"/>
              </w:rPr>
              <w:t>周楸智</w:t>
            </w:r>
          </w:p>
        </w:tc>
        <w:tc>
          <w:tcPr>
            <w:tcW w:w="646" w:type="dxa"/>
            <w:vMerge w:val="restart"/>
            <w:vAlign w:val="center"/>
          </w:tcPr>
          <w:p>
            <w:pPr>
              <w:spacing w:line="360" w:lineRule="auto"/>
              <w:rPr>
                <w:rFonts w:ascii="楷体" w:hAnsi="楷体" w:eastAsia="楷体" w:cs="宋体"/>
                <w:sz w:val="24"/>
                <w:szCs w:val="24"/>
              </w:rPr>
            </w:pPr>
            <w:r>
              <w:rPr>
                <w:rFonts w:hint="eastAsia" w:ascii="楷体" w:hAnsi="楷体" w:eastAsia="楷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2" w:type="dxa"/>
            <w:vMerge w:val="continue"/>
            <w:vAlign w:val="center"/>
          </w:tcPr>
          <w:p>
            <w:pPr>
              <w:spacing w:line="360" w:lineRule="auto"/>
              <w:rPr>
                <w:rFonts w:ascii="楷体" w:hAnsi="楷体" w:eastAsia="楷体" w:cs="宋体"/>
                <w:sz w:val="24"/>
                <w:szCs w:val="24"/>
              </w:rPr>
            </w:pPr>
          </w:p>
        </w:tc>
        <w:tc>
          <w:tcPr>
            <w:tcW w:w="1228" w:type="dxa"/>
            <w:vMerge w:val="continue"/>
            <w:vAlign w:val="center"/>
          </w:tcPr>
          <w:p>
            <w:pPr>
              <w:spacing w:line="360" w:lineRule="auto"/>
              <w:rPr>
                <w:rFonts w:ascii="楷体" w:hAnsi="楷体" w:eastAsia="楷体" w:cs="宋体"/>
                <w:sz w:val="24"/>
                <w:szCs w:val="24"/>
              </w:rPr>
            </w:pPr>
          </w:p>
        </w:tc>
        <w:tc>
          <w:tcPr>
            <w:tcW w:w="10943"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 xml:space="preserve">审核员： </w:t>
            </w:r>
            <w:r>
              <w:rPr>
                <w:rFonts w:hint="eastAsia" w:ascii="楷体" w:hAnsi="楷体" w:eastAsia="楷体" w:cs="宋体"/>
                <w:sz w:val="24"/>
                <w:szCs w:val="24"/>
                <w:lang w:val="en-US" w:eastAsia="zh-CN"/>
              </w:rPr>
              <w:t>李俐</w:t>
            </w:r>
            <w:r>
              <w:rPr>
                <w:rFonts w:hint="eastAsia" w:ascii="楷体" w:hAnsi="楷体" w:eastAsia="楷体" w:cs="宋体"/>
                <w:sz w:val="24"/>
                <w:szCs w:val="24"/>
              </w:rPr>
              <w:t xml:space="preserve">  </w:t>
            </w:r>
            <w:r>
              <w:rPr>
                <w:rFonts w:hint="eastAsia" w:ascii="楷体" w:hAnsi="楷体" w:eastAsia="楷体"/>
                <w:sz w:val="24"/>
                <w:szCs w:val="24"/>
              </w:rPr>
              <w:t>李永双</w:t>
            </w:r>
            <w:r>
              <w:rPr>
                <w:rFonts w:hint="eastAsia" w:ascii="楷体" w:hAnsi="楷体" w:eastAsia="楷体" w:cs="宋体"/>
                <w:sz w:val="24"/>
                <w:szCs w:val="24"/>
              </w:rPr>
              <w:t xml:space="preserve">            审核时间：202</w:t>
            </w:r>
            <w:r>
              <w:rPr>
                <w:rFonts w:hint="eastAsia" w:ascii="楷体" w:hAnsi="楷体" w:eastAsia="楷体" w:cs="宋体"/>
                <w:sz w:val="24"/>
                <w:szCs w:val="24"/>
                <w:lang w:val="en-US" w:eastAsia="zh-CN"/>
              </w:rPr>
              <w:t>1</w:t>
            </w:r>
            <w:r>
              <w:rPr>
                <w:rFonts w:hint="eastAsia" w:ascii="楷体" w:hAnsi="楷体" w:eastAsia="楷体" w:cs="宋体"/>
                <w:sz w:val="24"/>
                <w:szCs w:val="24"/>
              </w:rPr>
              <w:t>年</w:t>
            </w:r>
            <w:r>
              <w:rPr>
                <w:rFonts w:hint="eastAsia" w:ascii="楷体" w:hAnsi="楷体" w:eastAsia="楷体" w:cs="宋体"/>
                <w:sz w:val="24"/>
                <w:szCs w:val="24"/>
                <w:lang w:val="en-US" w:eastAsia="zh-CN"/>
              </w:rPr>
              <w:t>7</w:t>
            </w:r>
            <w:r>
              <w:rPr>
                <w:rFonts w:hint="eastAsia" w:ascii="楷体" w:hAnsi="楷体" w:eastAsia="楷体" w:cs="宋体"/>
                <w:sz w:val="24"/>
                <w:szCs w:val="24"/>
              </w:rPr>
              <w:t>月</w:t>
            </w:r>
            <w:r>
              <w:rPr>
                <w:rFonts w:hint="eastAsia" w:ascii="楷体" w:hAnsi="楷体" w:eastAsia="楷体" w:cs="宋体"/>
                <w:sz w:val="24"/>
                <w:szCs w:val="24"/>
                <w:lang w:val="en-US" w:eastAsia="zh-CN"/>
              </w:rPr>
              <w:t>5</w:t>
            </w:r>
            <w:r>
              <w:rPr>
                <w:rFonts w:hint="eastAsia" w:ascii="楷体" w:hAnsi="楷体" w:eastAsia="楷体" w:cs="宋体"/>
                <w:sz w:val="24"/>
                <w:szCs w:val="24"/>
              </w:rPr>
              <w:t>日</w:t>
            </w:r>
          </w:p>
        </w:tc>
        <w:tc>
          <w:tcPr>
            <w:tcW w:w="646" w:type="dxa"/>
            <w:vMerge w:val="continue"/>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Merge w:val="continue"/>
            <w:vAlign w:val="center"/>
          </w:tcPr>
          <w:p>
            <w:pPr>
              <w:spacing w:line="360" w:lineRule="auto"/>
              <w:rPr>
                <w:rFonts w:ascii="楷体" w:hAnsi="楷体" w:eastAsia="楷体" w:cs="宋体"/>
                <w:sz w:val="24"/>
                <w:szCs w:val="24"/>
              </w:rPr>
            </w:pPr>
          </w:p>
        </w:tc>
        <w:tc>
          <w:tcPr>
            <w:tcW w:w="1228" w:type="dxa"/>
            <w:vMerge w:val="continue"/>
            <w:vAlign w:val="center"/>
          </w:tcPr>
          <w:p>
            <w:pPr>
              <w:spacing w:line="360" w:lineRule="auto"/>
              <w:rPr>
                <w:rFonts w:ascii="楷体" w:hAnsi="楷体" w:eastAsia="楷体" w:cs="宋体"/>
                <w:sz w:val="24"/>
                <w:szCs w:val="24"/>
              </w:rPr>
            </w:pPr>
          </w:p>
        </w:tc>
        <w:tc>
          <w:tcPr>
            <w:tcW w:w="10943" w:type="dxa"/>
            <w:vAlign w:val="center"/>
          </w:tcPr>
          <w:p>
            <w:pPr>
              <w:snapToGrid w:val="0"/>
              <w:rPr>
                <w:rFonts w:hint="eastAsia" w:ascii="楷体" w:hAnsi="楷体" w:eastAsia="楷体"/>
                <w:sz w:val="24"/>
                <w:szCs w:val="24"/>
              </w:rPr>
            </w:pPr>
            <w:r>
              <w:rPr>
                <w:rFonts w:hint="eastAsia" w:ascii="楷体" w:hAnsi="楷体" w:eastAsia="楷体" w:cs="宋体"/>
                <w:sz w:val="24"/>
                <w:szCs w:val="24"/>
              </w:rPr>
              <w:t>审核</w:t>
            </w:r>
            <w:r>
              <w:rPr>
                <w:rFonts w:hint="eastAsia" w:ascii="楷体" w:hAnsi="楷体" w:eastAsia="楷体"/>
                <w:sz w:val="24"/>
                <w:szCs w:val="24"/>
              </w:rPr>
              <w:t>条款：</w:t>
            </w:r>
          </w:p>
          <w:p>
            <w:pPr>
              <w:spacing w:line="360" w:lineRule="auto"/>
              <w:rPr>
                <w:rFonts w:hint="eastAsia" w:eastAsia="宋体"/>
                <w:sz w:val="21"/>
                <w:szCs w:val="21"/>
                <w:lang w:eastAsia="zh-CN"/>
              </w:rPr>
            </w:pPr>
            <w:r>
              <w:rPr>
                <w:rFonts w:hint="eastAsia" w:ascii="楷体" w:hAnsi="楷体" w:eastAsia="楷体"/>
                <w:sz w:val="21"/>
                <w:szCs w:val="21"/>
              </w:rPr>
              <w:t>E/O</w:t>
            </w:r>
            <w:r>
              <w:rPr>
                <w:rFonts w:hint="eastAsia" w:ascii="楷体" w:hAnsi="楷体" w:eastAsia="楷体"/>
                <w:sz w:val="21"/>
                <w:szCs w:val="21"/>
                <w:lang w:eastAsia="zh-CN"/>
              </w:rPr>
              <w:t>：</w:t>
            </w:r>
            <w:r>
              <w:rPr>
                <w:rFonts w:hint="eastAsia"/>
                <w:sz w:val="21"/>
                <w:szCs w:val="21"/>
              </w:rPr>
              <w:t>4.1理解组织及其环境、4.2理解相关方的需求和期望、4.3 确定管理体系的范围、4.4环境/职业健康安全管理体系及其过程、5.1领导作用和承诺、5.2环境/职业健康安全方针、5.3组织的岗位、职责和权限、O5.4协商与参与、6.1应对风险和机遇的措施、6.2环境/职业健康安全目标及其实现的策划、7.1资源、7.4沟通/信息交流、9.3管理评审、10.1改进、10.3持续改进</w:t>
            </w:r>
            <w:r>
              <w:rPr>
                <w:rFonts w:hint="eastAsia"/>
                <w:sz w:val="21"/>
                <w:szCs w:val="21"/>
                <w:lang w:eastAsia="zh-CN"/>
              </w:rPr>
              <w:t>。</w:t>
            </w:r>
          </w:p>
          <w:p>
            <w:pPr>
              <w:pStyle w:val="5"/>
              <w:rPr>
                <w:rFonts w:hint="eastAsia" w:ascii="楷体" w:hAnsi="楷体" w:eastAsia="楷体"/>
                <w:sz w:val="21"/>
                <w:szCs w:val="21"/>
              </w:rPr>
            </w:pPr>
            <w:r>
              <w:rPr>
                <w:rFonts w:hint="eastAsia"/>
                <w:sz w:val="21"/>
                <w:szCs w:val="21"/>
              </w:rPr>
              <w:t>国家/地方监督抽查情况；顾客满意、相关方投诉及处理情况；上次审核不符合验证，验证企业相关资质证明的有效性；</w:t>
            </w:r>
          </w:p>
          <w:p>
            <w:pPr>
              <w:pStyle w:val="5"/>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认证证书、标志的使用情况、投诉或事故、监督抽查情况、体系变动；</w:t>
            </w:r>
          </w:p>
          <w:p>
            <w:pPr>
              <w:ind w:firstLine="480" w:firstLineChars="200"/>
              <w:jc w:val="left"/>
              <w:rPr>
                <w:rFonts w:ascii="楷体" w:hAnsi="楷体" w:eastAsia="楷体" w:cs="宋体"/>
                <w:sz w:val="24"/>
                <w:szCs w:val="24"/>
              </w:rPr>
            </w:pPr>
          </w:p>
        </w:tc>
        <w:tc>
          <w:tcPr>
            <w:tcW w:w="646" w:type="dxa"/>
            <w:vMerge w:val="continue"/>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pPr>
            <w:r>
              <w:rPr>
                <w:rFonts w:hint="eastAsia"/>
              </w:rPr>
              <w:t>理解组织及其环境</w:t>
            </w:r>
          </w:p>
          <w:p>
            <w:pPr>
              <w:spacing w:line="360" w:lineRule="auto"/>
            </w:pPr>
          </w:p>
          <w:p>
            <w:pPr>
              <w:spacing w:line="360" w:lineRule="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rPr>
                <w:rFonts w:ascii="楷体" w:hAnsi="楷体" w:eastAsia="楷体" w:cs="宋体"/>
                <w:sz w:val="24"/>
                <w:szCs w:val="24"/>
              </w:rPr>
            </w:pPr>
            <w:r>
              <w:rPr>
                <w:rFonts w:hint="eastAsia"/>
              </w:rPr>
              <w:t>确定管理体系的范围</w:t>
            </w:r>
          </w:p>
        </w:tc>
        <w:tc>
          <w:tcPr>
            <w:tcW w:w="1228" w:type="dxa"/>
            <w:vAlign w:val="center"/>
          </w:tcPr>
          <w:p>
            <w:pPr>
              <w:spacing w:line="360" w:lineRule="auto"/>
              <w:rPr>
                <w:rFonts w:hint="eastAsia" w:ascii="楷体" w:hAnsi="楷体" w:eastAsia="楷体"/>
                <w:sz w:val="24"/>
                <w:szCs w:val="24"/>
              </w:rPr>
            </w:pPr>
          </w:p>
          <w:p>
            <w:pPr>
              <w:spacing w:line="360" w:lineRule="auto"/>
            </w:pPr>
            <w:r>
              <w:rPr>
                <w:rFonts w:hint="eastAsia" w:ascii="楷体" w:hAnsi="楷体" w:eastAsia="楷体"/>
                <w:sz w:val="24"/>
                <w:szCs w:val="24"/>
              </w:rPr>
              <w:t>E/O：</w:t>
            </w:r>
            <w:r>
              <w:rPr>
                <w:rFonts w:hint="eastAsia"/>
              </w:rPr>
              <w:t>4.1</w:t>
            </w:r>
          </w:p>
          <w:p>
            <w:pPr>
              <w:spacing w:line="360" w:lineRule="auto"/>
              <w:ind w:firstLine="420" w:firstLineChars="200"/>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pPr>
            <w:r>
              <w:rPr>
                <w:rFonts w:hint="eastAsia" w:ascii="楷体" w:hAnsi="楷体" w:eastAsia="楷体"/>
                <w:sz w:val="24"/>
                <w:szCs w:val="24"/>
              </w:rPr>
              <w:t>E/O</w:t>
            </w:r>
            <w:r>
              <w:rPr>
                <w:rFonts w:hint="eastAsia" w:ascii="楷体" w:hAnsi="楷体" w:eastAsia="楷体" w:cs="Times New Roman"/>
                <w:sz w:val="24"/>
                <w:szCs w:val="24"/>
              </w:rPr>
              <w:t>：4.3</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240" w:lineRule="auto"/>
              <w:rPr>
                <w:rFonts w:hint="eastAsia"/>
              </w:rPr>
            </w:pPr>
          </w:p>
          <w:p>
            <w:pPr>
              <w:spacing w:line="240" w:lineRule="auto"/>
              <w:rPr>
                <w:rFonts w:ascii="楷体" w:hAnsi="楷体" w:eastAsia="楷体" w:cs="宋体"/>
                <w:sz w:val="24"/>
                <w:szCs w:val="24"/>
              </w:rPr>
            </w:pPr>
          </w:p>
        </w:tc>
        <w:tc>
          <w:tcPr>
            <w:tcW w:w="10943" w:type="dxa"/>
            <w:vAlign w:val="center"/>
          </w:tcPr>
          <w:p>
            <w:pPr>
              <w:pStyle w:val="5"/>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面谈人员：总经理：王磊    管代：张福林 </w:t>
            </w:r>
          </w:p>
          <w:p>
            <w:pPr>
              <w:pStyle w:val="5"/>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提供了组织营业执照</w:t>
            </w:r>
            <w:r>
              <w:rPr>
                <w:rFonts w:hint="eastAsia" w:ascii="Times New Roman" w:hAnsi="Times New Roman" w:eastAsia="宋体" w:cs="Times New Roman"/>
                <w:sz w:val="21"/>
                <w:szCs w:val="21"/>
                <w:lang w:val="en-US" w:eastAsia="zh-CN"/>
              </w:rPr>
              <w:t>及资质</w:t>
            </w:r>
            <w:r>
              <w:rPr>
                <w:rFonts w:hint="eastAsia" w:ascii="Times New Roman" w:hAnsi="Times New Roman" w:eastAsia="宋体" w:cs="Times New Roman"/>
                <w:sz w:val="21"/>
                <w:szCs w:val="21"/>
                <w:lang w:eastAsia="zh-CN"/>
              </w:rPr>
              <w:t>：</w:t>
            </w:r>
          </w:p>
          <w:p>
            <w:pPr>
              <w:pStyle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大庆市三星机械制造有限公司，</w:t>
            </w:r>
            <w:r>
              <w:rPr>
                <w:rFonts w:hint="eastAsia" w:ascii="Times New Roman" w:hAnsi="Times New Roman" w:eastAsia="宋体" w:cs="Times New Roman"/>
                <w:sz w:val="21"/>
                <w:szCs w:val="21"/>
                <w:lang w:val="en-US" w:eastAsia="zh-CN"/>
              </w:rPr>
              <w:t>公司成立：1999年9月9日，</w:t>
            </w:r>
            <w:r>
              <w:rPr>
                <w:rFonts w:hint="eastAsia" w:ascii="Times New Roman" w:hAnsi="Times New Roman" w:eastAsia="宋体" w:cs="Times New Roman"/>
                <w:sz w:val="21"/>
                <w:szCs w:val="21"/>
              </w:rPr>
              <w:t>企业注册资本为</w:t>
            </w:r>
            <w:r>
              <w:rPr>
                <w:rFonts w:hint="eastAsia" w:ascii="Times New Roman" w:hAnsi="Times New Roman" w:eastAsia="宋体" w:cs="Times New Roman"/>
                <w:sz w:val="21"/>
                <w:szCs w:val="21"/>
                <w:lang w:val="en-US" w:eastAsia="zh-CN"/>
              </w:rPr>
              <w:t>5100</w:t>
            </w:r>
            <w:r>
              <w:rPr>
                <w:rFonts w:hint="eastAsia" w:ascii="Times New Roman" w:hAnsi="Times New Roman" w:eastAsia="宋体" w:cs="Times New Roman"/>
                <w:sz w:val="21"/>
                <w:szCs w:val="21"/>
              </w:rPr>
              <w:t>万元，法人代表王磊 ，2019年09月06日取得三证合一营业执照</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 xml:space="preserve">注册地址：黑龙江省大庆市高新技术开发区宏伟园区孵化器3号 </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经营地址：黑龙江省大庆市高新技术开发区宏伟园区孵化器3号</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营业期限</w:t>
            </w:r>
            <w:r>
              <w:rPr>
                <w:rFonts w:hint="eastAsia" w:ascii="Times New Roman" w:hAnsi="Times New Roman" w:eastAsia="宋体" w:cs="Times New Roman"/>
                <w:sz w:val="21"/>
                <w:szCs w:val="21"/>
                <w:lang w:val="en-US" w:eastAsia="zh-CN"/>
              </w:rPr>
              <w:t>长期。</w:t>
            </w:r>
          </w:p>
          <w:p>
            <w:pPr>
              <w:pStyle w:val="5"/>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经营范围：石油化工设备及配件的制造、销售、维修:仪器仪表的开发及销售:工业自动控制系统装置制造销售及技术开发:阀门及配件修复:电机修理:五金工具、金属材料(稀贵金属除外)、橡胶制品、化工产品(不含危险化学品)销售;压力容器的制造、安装、维修:设备工艺管线安装改造及堵漏:变压器焊接器材维修:聚丙烯酰胺专用设备生产:机械设备租赁:化工生产专用设备修理及技术服务;石油钻采技术开发及技术服务:压力管道元件制造:金属密封件、石油钻采专用设备及配件、水处理设备及配件、泵及配件、紧固件、环境保护专用设备技术开发、维修及销售。管线、锅炉物理清洗服务:清洗服务:炉用燃烧器及配件制造、销售、维修及技术服务。(依法须经批准的项目，经相关部门批准后方可开展经营活动)</w:t>
            </w:r>
            <w:r>
              <w:rPr>
                <w:rFonts w:hint="eastAsia" w:ascii="Times New Roman" w:hAnsi="Times New Roman" w:eastAsia="宋体" w:cs="Times New Roman"/>
                <w:sz w:val="21"/>
                <w:szCs w:val="21"/>
                <w:lang w:eastAsia="zh-CN"/>
              </w:rPr>
              <w:t>。</w:t>
            </w:r>
          </w:p>
          <w:p>
            <w:pPr>
              <w:pStyle w:val="5"/>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20</w:t>
            </w:r>
            <w:r>
              <w:rPr>
                <w:rFonts w:hint="eastAsia" w:ascii="Times New Roman" w:hAnsi="Times New Roman" w:eastAsia="宋体" w:cs="Times New Roman"/>
                <w:sz w:val="21"/>
                <w:szCs w:val="21"/>
                <w:lang w:val="en-US" w:eastAsia="zh-CN"/>
              </w:rPr>
              <w:t>18</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06</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20</w:t>
            </w:r>
            <w:r>
              <w:rPr>
                <w:rFonts w:hint="eastAsia" w:ascii="Times New Roman" w:hAnsi="Times New Roman" w:eastAsia="宋体" w:cs="Times New Roman"/>
                <w:sz w:val="21"/>
                <w:szCs w:val="21"/>
              </w:rPr>
              <w:t>日取得</w:t>
            </w:r>
            <w:r>
              <w:rPr>
                <w:rFonts w:hint="eastAsia" w:ascii="Times New Roman" w:hAnsi="Times New Roman" w:eastAsia="宋体" w:cs="Times New Roman"/>
                <w:sz w:val="21"/>
                <w:szCs w:val="21"/>
                <w:lang w:val="en-US" w:eastAsia="zh-CN"/>
              </w:rPr>
              <w:t>中华人民共和国特种设备制造</w:t>
            </w:r>
            <w:r>
              <w:rPr>
                <w:rFonts w:hint="eastAsia" w:ascii="Times New Roman" w:hAnsi="Times New Roman" w:eastAsia="宋体" w:cs="Times New Roman"/>
                <w:sz w:val="21"/>
                <w:szCs w:val="21"/>
              </w:rPr>
              <w:t>许可证</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D1级别，第一类压力容器；D2级别，第二类低、中压力容器，</w:t>
            </w:r>
            <w:r>
              <w:rPr>
                <w:rFonts w:hint="eastAsia" w:ascii="Times New Roman" w:hAnsi="Times New Roman" w:eastAsia="宋体" w:cs="Times New Roman"/>
                <w:sz w:val="21"/>
                <w:szCs w:val="21"/>
              </w:rPr>
              <w:t>有效期至20</w:t>
            </w:r>
            <w:r>
              <w:rPr>
                <w:rFonts w:hint="eastAsia" w:ascii="Times New Roman" w:hAnsi="Times New Roman" w:eastAsia="宋体" w:cs="Times New Roman"/>
                <w:sz w:val="21"/>
                <w:szCs w:val="21"/>
                <w:lang w:val="en-US" w:eastAsia="zh-CN"/>
              </w:rPr>
              <w:t>22</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05</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05</w:t>
            </w:r>
            <w:r>
              <w:rPr>
                <w:rFonts w:hint="eastAsia" w:ascii="Times New Roman" w:hAnsi="Times New Roman" w:eastAsia="宋体" w:cs="Times New Roman"/>
                <w:sz w:val="21"/>
                <w:szCs w:val="21"/>
              </w:rPr>
              <w:t>日。</w:t>
            </w:r>
          </w:p>
          <w:p>
            <w:pPr>
              <w:pStyle w:val="5"/>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法人资格满足要求。</w:t>
            </w:r>
          </w:p>
          <w:p>
            <w:pPr>
              <w:pStyle w:val="5"/>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2018年07 月16日</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获</w:t>
            </w:r>
            <w:r>
              <w:rPr>
                <w:rFonts w:hint="eastAsia" w:ascii="Times New Roman" w:hAnsi="Times New Roman" w:eastAsia="宋体" w:cs="Times New Roman"/>
                <w:sz w:val="21"/>
                <w:szCs w:val="21"/>
              </w:rPr>
              <w:t>环境管理体系认证证书</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证书编号: ISC-E-2018-0032</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职业健康安全管理体系认证证书</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证书编号: ISC-0-2018-0028</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有效期至:2021年07月15日</w:t>
            </w:r>
            <w:r>
              <w:rPr>
                <w:rFonts w:hint="eastAsia" w:ascii="Times New Roman" w:hAnsi="Times New Roman" w:eastAsia="宋体" w:cs="Times New Roman"/>
                <w:sz w:val="21"/>
                <w:szCs w:val="21"/>
                <w:lang w:eastAsia="zh-CN"/>
              </w:rPr>
              <w:t>。</w:t>
            </w:r>
          </w:p>
          <w:p>
            <w:pPr>
              <w:spacing w:line="360" w:lineRule="auto"/>
              <w:rPr>
                <w:rFonts w:hint="eastAsia"/>
                <w:sz w:val="21"/>
                <w:szCs w:val="21"/>
              </w:rPr>
            </w:pPr>
            <w:r>
              <w:rPr>
                <w:rFonts w:hint="eastAsia"/>
                <w:sz w:val="21"/>
                <w:szCs w:val="21"/>
              </w:rPr>
              <w:t>认证范围为：</w:t>
            </w:r>
          </w:p>
          <w:p>
            <w:pPr>
              <w:spacing w:line="360" w:lineRule="auto"/>
              <w:rPr>
                <w:sz w:val="21"/>
                <w:szCs w:val="21"/>
              </w:rPr>
            </w:pPr>
            <w:r>
              <w:rPr>
                <w:sz w:val="21"/>
                <w:szCs w:val="21"/>
              </w:rPr>
              <w:t>E：</w:t>
            </w:r>
            <w:r>
              <w:rPr>
                <w:rFonts w:hint="eastAsia"/>
                <w:sz w:val="21"/>
                <w:szCs w:val="21"/>
              </w:rPr>
              <w:t>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环境管理活动。</w:t>
            </w:r>
          </w:p>
          <w:p>
            <w:pPr>
              <w:pStyle w:val="5"/>
              <w:rPr>
                <w:rFonts w:hint="eastAsia"/>
                <w:sz w:val="21"/>
                <w:szCs w:val="21"/>
              </w:rPr>
            </w:pPr>
            <w:r>
              <w:rPr>
                <w:sz w:val="21"/>
                <w:szCs w:val="21"/>
              </w:rPr>
              <w:t>O：</w:t>
            </w:r>
            <w:r>
              <w:rPr>
                <w:rFonts w:hint="eastAsia"/>
                <w:sz w:val="21"/>
                <w:szCs w:val="21"/>
              </w:rPr>
              <w:t>石油化工设备及配件(聚丙烯酰胺专用设备、压力容器、炉用燃烧器及配件)的制造、销售及技术服务;石油钻采专用设备及配件、水处理设备及配件、环境保护专用设备、化工生产专用设备、阴极保护系统的技术研发及销售；仪器仪表、工业自动控制系统装置、电机、橡胶制品、压力管道元件、阀门及配件、金属密封件、泵及配件、紧固件、阴极保护设备、工业清洗服务、管线的清洗服务，锅炉物理清洗服务、化工生产专用设备的维修和销售所涉及场所的相关职业健康安全管理活动。</w:t>
            </w:r>
          </w:p>
          <w:p>
            <w:pPr>
              <w:pStyle w:val="5"/>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组织机构未发生变化，人数：43人</w:t>
            </w:r>
          </w:p>
          <w:p>
            <w:pPr>
              <w:pStyle w:val="5"/>
              <w:rPr>
                <w:rFonts w:hint="eastAsia"/>
                <w:sz w:val="21"/>
                <w:szCs w:val="21"/>
              </w:rPr>
            </w:pPr>
          </w:p>
          <w:p>
            <w:pPr>
              <w:pStyle w:val="5"/>
              <w:rPr>
                <w:rFonts w:hint="eastAsia" w:ascii="Times New Roman" w:hAnsi="Times New Roman" w:eastAsia="宋体" w:cs="Times New Roman"/>
                <w:sz w:val="21"/>
                <w:szCs w:val="21"/>
              </w:rPr>
            </w:pPr>
            <w:r>
              <w:rPr>
                <w:rFonts w:hint="eastAsia" w:cs="Times New Roman"/>
                <w:sz w:val="21"/>
                <w:szCs w:val="21"/>
                <w:lang w:val="en-US" w:eastAsia="zh-CN"/>
              </w:rPr>
              <w:t>2020年12月5日，对体系文件进行了修订，</w:t>
            </w:r>
            <w:r>
              <w:rPr>
                <w:rFonts w:hint="eastAsia" w:ascii="Times New Roman" w:hAnsi="Times New Roman" w:eastAsia="宋体" w:cs="Times New Roman"/>
                <w:sz w:val="21"/>
                <w:szCs w:val="21"/>
              </w:rPr>
              <w:t>提供</w:t>
            </w:r>
            <w:r>
              <w:rPr>
                <w:rFonts w:hint="eastAsia" w:cs="Times New Roman"/>
                <w:sz w:val="21"/>
                <w:szCs w:val="21"/>
                <w:lang w:val="en-US" w:eastAsia="zh-CN"/>
              </w:rPr>
              <w:t>C/0版</w:t>
            </w:r>
            <w:r>
              <w:rPr>
                <w:rFonts w:hint="eastAsia" w:ascii="Times New Roman" w:hAnsi="Times New Roman" w:eastAsia="宋体" w:cs="Times New Roman"/>
                <w:sz w:val="21"/>
                <w:szCs w:val="21"/>
              </w:rPr>
              <w:t>《SX/QEOM</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 xml:space="preserve"> SC-20</w:t>
            </w:r>
            <w:r>
              <w:rPr>
                <w:rFonts w:hint="eastAsia" w:ascii="Times New Roman" w:hAnsi="Times New Roman" w:eastAsia="宋体" w:cs="Times New Roman"/>
                <w:sz w:val="21"/>
                <w:szCs w:val="21"/>
                <w:lang w:val="en-US" w:eastAsia="zh-CN"/>
              </w:rPr>
              <w:t>20</w:t>
            </w:r>
            <w:r>
              <w:rPr>
                <w:rFonts w:hint="eastAsia" w:cs="Times New Roman"/>
                <w:sz w:val="21"/>
                <w:szCs w:val="21"/>
                <w:lang w:val="en-US" w:eastAsia="zh-CN"/>
              </w:rPr>
              <w:t xml:space="preserve">  </w:t>
            </w:r>
            <w:r>
              <w:rPr>
                <w:rFonts w:hint="eastAsia" w:ascii="Times New Roman" w:hAnsi="Times New Roman" w:eastAsia="宋体" w:cs="Times New Roman"/>
                <w:sz w:val="21"/>
                <w:szCs w:val="21"/>
              </w:rPr>
              <w:t>质量/环境/职业健康安全管理手册</w:t>
            </w:r>
            <w:r>
              <w:rPr>
                <w:rFonts w:hint="eastAsia" w:cs="Times New Roman"/>
                <w:sz w:val="21"/>
                <w:szCs w:val="21"/>
                <w:lang w:val="en-US" w:eastAsia="zh-CN"/>
              </w:rPr>
              <w:t xml:space="preserve"> </w:t>
            </w:r>
            <w:r>
              <w:rPr>
                <w:rFonts w:hint="eastAsia" w:ascii="Times New Roman" w:hAnsi="Times New Roman" w:eastAsia="宋体" w:cs="Times New Roman"/>
                <w:sz w:val="21"/>
                <w:szCs w:val="21"/>
              </w:rPr>
              <w:t xml:space="preserve">》，对公司地理位置、国内市场地位、法律法规要求、公司内部文化观价值观、内外部环境变化等均作出描述。 </w:t>
            </w:r>
          </w:p>
          <w:p>
            <w:pPr>
              <w:pStyle w:val="5"/>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提供有《组织的内外重要环境因素分析表》，识别了相关内容，未发生变化。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作外部和内部因素的分析，外部因素考虑市场容量、竞争、法律等方面；内部因素分析较多，分别从内部资源、企业文化、员工、资金等因素展开；采用SWOT方法进行分析，日常会议上常议以上各因素，以实现监测和评审，并输出未来发展规划。</w:t>
            </w:r>
          </w:p>
          <w:p>
            <w:pPr>
              <w:pStyle w:val="5"/>
              <w:rPr>
                <w:rFonts w:hint="eastAsia" w:ascii="Times New Roman" w:hAnsi="Times New Roman" w:eastAsia="宋体" w:cs="Times New Roman"/>
                <w:sz w:val="18"/>
                <w:szCs w:val="18"/>
                <w:lang w:eastAsia="zh-CN"/>
              </w:rPr>
            </w:pPr>
            <w:r>
              <w:rPr>
                <w:rFonts w:hint="eastAsia" w:ascii="Times New Roman" w:hAnsi="Times New Roman" w:eastAsia="宋体" w:cs="Times New Roman"/>
                <w:sz w:val="21"/>
                <w:szCs w:val="21"/>
              </w:rPr>
              <w:t>体系运行以来，没有发生重大顾客投诉、环境或职业健康安全事故等。</w:t>
            </w:r>
          </w:p>
        </w:tc>
        <w:tc>
          <w:tcPr>
            <w:tcW w:w="646" w:type="dxa"/>
            <w:vAlign w:val="center"/>
          </w:tcPr>
          <w:p>
            <w:pPr>
              <w:pStyle w:val="2"/>
              <w:tabs>
                <w:tab w:val="center" w:pos="215"/>
              </w:tabs>
              <w:jc w:val="both"/>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trPr>
        <w:tc>
          <w:tcPr>
            <w:tcW w:w="1892" w:type="dxa"/>
            <w:vAlign w:val="top"/>
          </w:tcPr>
          <w:p>
            <w:pPr>
              <w:spacing w:line="360" w:lineRule="auto"/>
              <w:rPr>
                <w:rFonts w:hint="eastAsia" w:ascii="楷体" w:hAnsi="楷体" w:eastAsia="楷体"/>
                <w:sz w:val="24"/>
                <w:szCs w:val="24"/>
              </w:rPr>
            </w:pPr>
          </w:p>
          <w:p>
            <w:pPr>
              <w:spacing w:line="360" w:lineRule="auto"/>
              <w:rPr>
                <w:rFonts w:ascii="Times New Roman" w:hAnsi="Times New Roman" w:eastAsia="宋体" w:cs="Times New Roman"/>
                <w:kern w:val="2"/>
                <w:sz w:val="21"/>
                <w:lang w:val="en-US" w:eastAsia="zh-CN" w:bidi="ar-SA"/>
              </w:rPr>
            </w:pPr>
            <w:r>
              <w:rPr>
                <w:rFonts w:hint="eastAsia" w:ascii="楷体" w:hAnsi="楷体" w:eastAsia="楷体"/>
                <w:sz w:val="24"/>
                <w:szCs w:val="24"/>
              </w:rPr>
              <w:t>理解相关方的需求和期望</w:t>
            </w:r>
          </w:p>
        </w:tc>
        <w:tc>
          <w:tcPr>
            <w:tcW w:w="1228" w:type="dxa"/>
            <w:vAlign w:val="top"/>
          </w:tcPr>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Times New Roman" w:hAnsi="Times New Roman" w:eastAsia="宋体" w:cs="Times New Roman"/>
                <w:kern w:val="2"/>
                <w:sz w:val="21"/>
                <w:lang w:val="en-US" w:eastAsia="zh-CN" w:bidi="ar-SA"/>
              </w:rPr>
            </w:pPr>
            <w:r>
              <w:rPr>
                <w:rFonts w:hint="eastAsia" w:ascii="楷体" w:hAnsi="楷体" w:eastAsia="楷体"/>
                <w:sz w:val="24"/>
                <w:szCs w:val="24"/>
              </w:rPr>
              <w:t>E/O</w:t>
            </w:r>
            <w:r>
              <w:rPr>
                <w:rFonts w:hint="eastAsia" w:ascii="楷体" w:hAnsi="楷体" w:eastAsia="楷体" w:cs="Times New Roman"/>
                <w:sz w:val="24"/>
                <w:szCs w:val="24"/>
              </w:rPr>
              <w:t>：4.2</w:t>
            </w: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公司主要对与质量环境职业健康安全相关的各相关方及其要求的相关信息进行监视和评审，以便于理解和持续满足相关方的需求和期望。</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本公司考虑以下相关方：--顾客； ---供方；--员工； --审核机构等；--政府机构等；并根据各相关方识别了相应的需求和期望，明确了监测指标或项目，监测频次，监控部门等。如顾客产品质量符合要求、及时交货、价格合理；政府机构主要是安全生产、环保生产、就业最大化、经营效益好等。识别基本充分。提供《相关方的要求和期望清单》，识别员工、供应商、顾客、社会等要求。</w:t>
            </w:r>
          </w:p>
        </w:tc>
        <w:tc>
          <w:tcPr>
            <w:tcW w:w="646" w:type="dxa"/>
          </w:tcPr>
          <w:p>
            <w:pPr>
              <w:spacing w:line="360" w:lineRule="auto"/>
              <w:rPr>
                <w:rFonts w:hint="default" w:ascii="楷体" w:hAnsi="楷体" w:eastAsia="楷体" w:cs="宋体"/>
                <w:sz w:val="24"/>
                <w:szCs w:val="24"/>
                <w:lang w:val="en-US" w:eastAsia="zh-CN"/>
              </w:rPr>
            </w:pPr>
            <w:r>
              <w:rPr>
                <w:rFonts w:hint="eastAsia" w:ascii="楷体" w:hAnsi="楷体" w:eastAsia="楷体" w:cs="宋体"/>
                <w:sz w:val="24"/>
                <w:szCs w:val="24"/>
                <w:lang w:val="en-US" w:eastAsia="zh-CN"/>
              </w:rPr>
              <w:t xml:space="preserve"> </w:t>
            </w:r>
          </w:p>
          <w:p>
            <w:pPr>
              <w:spacing w:line="360" w:lineRule="auto"/>
              <w:rPr>
                <w:rFonts w:hint="eastAsia" w:ascii="楷体" w:hAnsi="楷体" w:eastAsia="楷体" w:cs="宋体"/>
                <w:sz w:val="24"/>
                <w:szCs w:val="24"/>
                <w:lang w:val="en-US" w:eastAsia="zh-CN"/>
              </w:rPr>
            </w:pPr>
          </w:p>
          <w:p>
            <w:pPr>
              <w:spacing w:line="360" w:lineRule="auto"/>
              <w:ind w:firstLine="240" w:firstLineChars="100"/>
              <w:rPr>
                <w:rFonts w:ascii="楷体" w:hAnsi="楷体" w:eastAsia="楷体"/>
                <w:sz w:val="24"/>
                <w:szCs w:val="24"/>
              </w:rPr>
            </w:pPr>
            <w:r>
              <w:rPr>
                <w:rFonts w:hint="eastAsia" w:ascii="楷体" w:hAnsi="楷体" w:eastAsia="楷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trPr>
        <w:tc>
          <w:tcPr>
            <w:tcW w:w="1892" w:type="dxa"/>
            <w:vAlign w:val="center"/>
          </w:tcPr>
          <w:p>
            <w:pPr>
              <w:spacing w:line="360" w:lineRule="auto"/>
              <w:rPr>
                <w:rFonts w:hint="eastAsia" w:ascii="楷体" w:hAnsi="楷体" w:eastAsia="楷体" w:cs="Times New Roman"/>
                <w:kern w:val="2"/>
                <w:sz w:val="24"/>
                <w:szCs w:val="24"/>
                <w:lang w:val="en-US" w:eastAsia="zh-CN" w:bidi="ar-SA"/>
              </w:rPr>
            </w:pPr>
            <w:r>
              <w:rPr>
                <w:rFonts w:hint="eastAsia" w:ascii="楷体" w:hAnsi="楷体" w:eastAsia="楷体"/>
                <w:sz w:val="24"/>
                <w:szCs w:val="24"/>
              </w:rPr>
              <w:t>环境</w:t>
            </w:r>
            <w:r>
              <w:rPr>
                <w:rFonts w:hint="eastAsia" w:ascii="楷体" w:hAnsi="楷体" w:eastAsia="楷体"/>
                <w:sz w:val="24"/>
                <w:szCs w:val="24"/>
                <w:lang w:eastAsia="zh-CN"/>
              </w:rPr>
              <w:t>、</w:t>
            </w:r>
            <w:r>
              <w:rPr>
                <w:rFonts w:hint="eastAsia" w:ascii="楷体" w:hAnsi="楷体" w:eastAsia="楷体"/>
                <w:sz w:val="24"/>
                <w:szCs w:val="24"/>
              </w:rPr>
              <w:t>职业健康安全管理体系及其过程</w:t>
            </w:r>
          </w:p>
        </w:tc>
        <w:tc>
          <w:tcPr>
            <w:tcW w:w="1228" w:type="dxa"/>
            <w:vAlign w:val="center"/>
          </w:tcPr>
          <w:p>
            <w:pPr>
              <w:spacing w:line="360" w:lineRule="auto"/>
              <w:rPr>
                <w:rFonts w:ascii="楷体" w:hAnsi="楷体" w:eastAsia="楷体"/>
                <w:sz w:val="24"/>
                <w:szCs w:val="24"/>
              </w:rPr>
            </w:pPr>
            <w:r>
              <w:rPr>
                <w:rFonts w:hint="eastAsia" w:ascii="楷体" w:hAnsi="楷体" w:eastAsia="楷体"/>
                <w:sz w:val="24"/>
                <w:szCs w:val="24"/>
              </w:rPr>
              <w:t>E/O</w:t>
            </w:r>
            <w:r>
              <w:rPr>
                <w:rFonts w:hint="eastAsia" w:ascii="楷体" w:hAnsi="楷体" w:eastAsia="楷体" w:cs="Times New Roman"/>
                <w:sz w:val="24"/>
                <w:szCs w:val="24"/>
              </w:rPr>
              <w:t>：</w:t>
            </w:r>
            <w:r>
              <w:rPr>
                <w:rFonts w:hint="eastAsia" w:ascii="楷体" w:hAnsi="楷体" w:eastAsia="楷体"/>
                <w:sz w:val="24"/>
                <w:szCs w:val="24"/>
              </w:rPr>
              <w:t xml:space="preserve">4.4  </w:t>
            </w:r>
          </w:p>
          <w:p>
            <w:pPr>
              <w:spacing w:line="360" w:lineRule="auto"/>
              <w:rPr>
                <w:rFonts w:hint="eastAsia" w:ascii="楷体" w:hAnsi="楷体" w:eastAsia="楷体" w:cs="Times New Roman"/>
                <w:kern w:val="2"/>
                <w:sz w:val="24"/>
                <w:szCs w:val="24"/>
                <w:lang w:val="en-US" w:eastAsia="zh-CN" w:bidi="ar-SA"/>
              </w:rPr>
            </w:pPr>
            <w:r>
              <w:rPr>
                <w:rFonts w:hint="eastAsia" w:ascii="楷体" w:hAnsi="楷体" w:eastAsia="楷体"/>
                <w:sz w:val="24"/>
                <w:szCs w:val="24"/>
              </w:rPr>
              <w:t xml:space="preserve"> </w:t>
            </w:r>
          </w:p>
        </w:tc>
        <w:tc>
          <w:tcPr>
            <w:tcW w:w="10943" w:type="dxa"/>
            <w:vAlign w:val="center"/>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公司按照 GB/T19001-2016 、GB/T24001-2016和ISO45001：2018 标准的要求识别了质量/环境/职业健康安全管理所需的过程及相互作用，识别了质量和环境、职业健康安全管理体系涉及的各个过程。</w:t>
            </w:r>
          </w:p>
          <w:p>
            <w:pPr>
              <w:spacing w:line="360" w:lineRule="auto"/>
              <w:ind w:firstLine="420" w:firstLineChars="200"/>
              <w:rPr>
                <w:rFonts w:hint="eastAsia" w:ascii="楷体" w:hAnsi="楷体" w:eastAsia="楷体" w:cs="Times New Roman"/>
                <w:kern w:val="2"/>
                <w:sz w:val="24"/>
                <w:szCs w:val="24"/>
                <w:lang w:val="en-US" w:eastAsia="zh-CN" w:bidi="ar-SA"/>
              </w:rPr>
            </w:pPr>
            <w:r>
              <w:rPr>
                <w:rFonts w:hint="eastAsia" w:ascii="宋体" w:hAnsi="宋体" w:eastAsia="宋体" w:cs="宋体"/>
                <w:szCs w:val="21"/>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pPr>
              <w:spacing w:line="360" w:lineRule="auto"/>
              <w:rPr>
                <w:rFonts w:hint="eastAsia" w:ascii="楷体" w:hAnsi="楷体" w:eastAsia="楷体" w:cs="宋体"/>
                <w:sz w:val="24"/>
                <w:szCs w:val="24"/>
                <w:lang w:val="en-US" w:eastAsia="zh-CN"/>
              </w:rPr>
            </w:pPr>
          </w:p>
          <w:p>
            <w:pPr>
              <w:spacing w:line="360" w:lineRule="auto"/>
              <w:rPr>
                <w:rFonts w:hint="eastAsia" w:ascii="楷体" w:hAnsi="楷体" w:eastAsia="楷体" w:cs="宋体"/>
                <w:sz w:val="24"/>
                <w:szCs w:val="24"/>
                <w:lang w:val="en-US" w:eastAsia="zh-CN"/>
              </w:rPr>
            </w:pPr>
          </w:p>
          <w:p>
            <w:pPr>
              <w:spacing w:line="360" w:lineRule="auto"/>
              <w:ind w:firstLine="240" w:firstLineChars="100"/>
              <w:rPr>
                <w:rFonts w:ascii="楷体" w:hAnsi="楷体" w:eastAsia="楷体"/>
                <w:sz w:val="24"/>
                <w:szCs w:val="24"/>
              </w:rPr>
            </w:pPr>
            <w:r>
              <w:rPr>
                <w:rFonts w:hint="eastAsia" w:ascii="楷体" w:hAnsi="楷体" w:eastAsia="楷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楷体" w:hAnsi="楷体" w:eastAsia="楷体"/>
                <w:b/>
                <w:sz w:val="24"/>
                <w:szCs w:val="24"/>
              </w:rPr>
            </w:pPr>
            <w:r>
              <w:rPr>
                <w:rFonts w:hint="eastAsia" w:ascii="楷体" w:hAnsi="楷体" w:eastAsia="楷体"/>
                <w:sz w:val="24"/>
                <w:szCs w:val="24"/>
              </w:rPr>
              <w:t>领导作用和承诺、组织的岗位职责和权限</w:t>
            </w:r>
          </w:p>
        </w:tc>
        <w:tc>
          <w:tcPr>
            <w:tcW w:w="1228" w:type="dxa"/>
            <w:vAlign w:val="center"/>
          </w:tcPr>
          <w:p>
            <w:pPr>
              <w:spacing w:line="360" w:lineRule="auto"/>
              <w:rPr>
                <w:rFonts w:ascii="楷体" w:hAnsi="楷体" w:eastAsia="楷体"/>
                <w:b/>
                <w:sz w:val="24"/>
                <w:szCs w:val="24"/>
              </w:rPr>
            </w:pPr>
            <w:r>
              <w:rPr>
                <w:rFonts w:hint="eastAsia" w:ascii="楷体" w:hAnsi="楷体" w:eastAsia="楷体"/>
                <w:sz w:val="24"/>
                <w:szCs w:val="24"/>
              </w:rPr>
              <w:t xml:space="preserve">E/O：5.1，5.3   </w:t>
            </w:r>
          </w:p>
        </w:tc>
        <w:tc>
          <w:tcPr>
            <w:tcW w:w="10943" w:type="dxa"/>
            <w:vAlign w:val="center"/>
          </w:tcPr>
          <w:p>
            <w:pPr>
              <w:pStyle w:val="5"/>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20</w:t>
            </w:r>
            <w:r>
              <w:rPr>
                <w:rFonts w:hint="eastAsia" w:ascii="Times New Roman" w:hAnsi="Times New Roman" w:eastAsia="宋体" w:cs="Times New Roman"/>
                <w:sz w:val="21"/>
                <w:szCs w:val="21"/>
                <w:lang w:val="en-US" w:eastAsia="zh-CN"/>
              </w:rPr>
              <w:t>20</w:t>
            </w:r>
            <w:r>
              <w:rPr>
                <w:rFonts w:hint="eastAsia" w:ascii="Times New Roman" w:hAnsi="Times New Roman" w:eastAsia="宋体" w:cs="Times New Roman"/>
                <w:sz w:val="21"/>
                <w:szCs w:val="21"/>
              </w:rPr>
              <w:t>年1</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月5日对《质量/环境/职业健康安全管理手册》进行了修订，按公司组织机构：行政部、技术部、生产部和供销部，对部门及其职责进行了规定，编制了岗位职责汇编，以文件上发的形式沟通各部门的职责及各部门之间工作的联系。</w:t>
            </w:r>
          </w:p>
          <w:p>
            <w:pPr>
              <w:pStyle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总经理</w:t>
            </w:r>
            <w:r>
              <w:rPr>
                <w:rFonts w:hint="eastAsia" w:ascii="Times New Roman" w:hAnsi="Times New Roman" w:eastAsia="宋体" w:cs="Times New Roman"/>
                <w:sz w:val="21"/>
                <w:szCs w:val="21"/>
                <w:lang w:val="en-US" w:eastAsia="zh-CN"/>
              </w:rPr>
              <w:t>的职责：</w:t>
            </w:r>
          </w:p>
          <w:p>
            <w:pPr>
              <w:pStyle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1)主持管理体系的策划，制定并颁布本公司的管理方针、目标，并对实现管理方针、目标负责；</w:t>
            </w:r>
          </w:p>
          <w:p>
            <w:pPr>
              <w:pStyle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2)确定各岗位、职能部门的职责和权限，向顾客、全体员工和相关方提供管理承诺，并提供资源；</w:t>
            </w:r>
          </w:p>
          <w:p>
            <w:pPr>
              <w:pStyle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3)任命管理者代表；</w:t>
            </w:r>
          </w:p>
          <w:p>
            <w:pPr>
              <w:pStyle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4)批准发布《管理手册》；</w:t>
            </w:r>
          </w:p>
          <w:p>
            <w:pPr>
              <w:pStyle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5)定期组织管理评审，保证管理体系持续有效运行和持续改进，对产品质量、环境和职业健康安全绩效负全面领导责任；</w:t>
            </w:r>
          </w:p>
          <w:p>
            <w:pPr>
              <w:pStyle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6)主持重大质量、环境和职业健康安全事故的调查分析和处理；</w:t>
            </w:r>
          </w:p>
          <w:p>
            <w:pPr>
              <w:pStyle w:val="5"/>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7)配备适当的人、财、物等资源，确保管理体系的持续有效运行。</w:t>
            </w:r>
          </w:p>
          <w:p>
            <w:pPr>
              <w:pStyle w:val="5"/>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管代张福林，主要负责公司产品的生产组织、行政及体系工作</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其职责：</w:t>
            </w:r>
          </w:p>
          <w:p>
            <w:pPr>
              <w:pStyle w:val="5"/>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1、确保质量、环境、职业健康安全管理体系的过程得到建立和保持。</w:t>
            </w:r>
          </w:p>
          <w:p>
            <w:pPr>
              <w:pStyle w:val="5"/>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2、向最高管理者报告质量、环境、职业健康安全管理体系的业绩和改进需求。</w:t>
            </w:r>
          </w:p>
          <w:p>
            <w:pPr>
              <w:pStyle w:val="5"/>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3、在组织内促进满足顾客要求，实施污染预防，保障员工健康，实现安全作业意识的形成和保持。</w:t>
            </w:r>
          </w:p>
          <w:p>
            <w:pPr>
              <w:pStyle w:val="5"/>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4、负责质量、环境、职业健康安全管理体系有关对外联络事宜。</w:t>
            </w:r>
          </w:p>
          <w:p>
            <w:pPr>
              <w:pStyle w:val="5"/>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经交流总经理和管代熟悉管理体系的基本运行情况，比较重视体系建设。</w:t>
            </w:r>
          </w:p>
          <w:p>
            <w:pPr>
              <w:pStyle w:val="5"/>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组织从开始运行以来，组织了内审员及体系相关知识的培训，识别了生产的过程及其相互关系，企业提供编号：SX/QEOM</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SC-20</w:t>
            </w:r>
            <w:r>
              <w:rPr>
                <w:rFonts w:hint="eastAsia" w:ascii="Times New Roman" w:hAnsi="Times New Roman" w:eastAsia="宋体" w:cs="Times New Roman"/>
                <w:sz w:val="21"/>
                <w:szCs w:val="21"/>
                <w:lang w:val="en-US" w:eastAsia="zh-CN"/>
              </w:rPr>
              <w:t>20</w:t>
            </w:r>
            <w:r>
              <w:rPr>
                <w:rFonts w:hint="eastAsia" w:ascii="Times New Roman" w:hAnsi="Times New Roman" w:eastAsia="宋体" w:cs="Times New Roman"/>
                <w:sz w:val="21"/>
                <w:szCs w:val="21"/>
              </w:rPr>
              <w:t xml:space="preserve"> 《质量/环境/职业健康安全管理手册》</w:t>
            </w:r>
            <w:r>
              <w:rPr>
                <w:rFonts w:hint="eastAsia" w:ascii="Times New Roman" w:hAnsi="Times New Roman" w:eastAsia="宋体" w:cs="Times New Roman"/>
                <w:sz w:val="21"/>
                <w:szCs w:val="21"/>
                <w:lang w:val="en-US" w:eastAsia="zh-CN"/>
              </w:rPr>
              <w:t>C</w:t>
            </w:r>
            <w:r>
              <w:rPr>
                <w:rFonts w:hint="eastAsia" w:ascii="Times New Roman" w:hAnsi="Times New Roman" w:eastAsia="宋体" w:cs="Times New Roman"/>
                <w:sz w:val="21"/>
                <w:szCs w:val="21"/>
              </w:rPr>
              <w:t>版，依据GB/T19001-2016/ISO9001:2015、GB/T24001-2016/IS014001:2015、GB/T45001-2020 / ISO45001：2018标准。20</w:t>
            </w:r>
            <w:r>
              <w:rPr>
                <w:rFonts w:hint="eastAsia" w:ascii="Times New Roman" w:hAnsi="Times New Roman" w:eastAsia="宋体" w:cs="Times New Roman"/>
                <w:sz w:val="21"/>
                <w:szCs w:val="21"/>
                <w:lang w:val="en-US" w:eastAsia="zh-CN"/>
              </w:rPr>
              <w:t>20</w:t>
            </w:r>
            <w:r>
              <w:rPr>
                <w:rFonts w:hint="eastAsia"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.5发布，20</w:t>
            </w:r>
            <w:r>
              <w:rPr>
                <w:rFonts w:hint="eastAsia" w:ascii="Times New Roman" w:hAnsi="Times New Roman" w:eastAsia="宋体" w:cs="Times New Roman"/>
                <w:sz w:val="21"/>
                <w:szCs w:val="21"/>
                <w:lang w:val="en-US" w:eastAsia="zh-CN"/>
              </w:rPr>
              <w:t>20</w:t>
            </w:r>
            <w:r>
              <w:rPr>
                <w:rFonts w:hint="eastAsia"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.5实施；总经理王磊批准。任命管代：张福林；职业健康安全事务代表：</w:t>
            </w:r>
            <w:r>
              <w:rPr>
                <w:rFonts w:hint="eastAsia" w:ascii="Times New Roman" w:hAnsi="Times New Roman" w:eastAsia="宋体" w:cs="Times New Roman"/>
                <w:sz w:val="21"/>
                <w:szCs w:val="21"/>
                <w:lang w:val="en-US" w:eastAsia="zh-CN"/>
              </w:rPr>
              <w:t>周楸智</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eastAsia="zh-CN"/>
              </w:rPr>
              <w:t>、</w:t>
            </w:r>
          </w:p>
          <w:p>
            <w:pPr>
              <w:pStyle w:val="5"/>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询问管代、陪同人员，均了解其职责。</w:t>
            </w:r>
          </w:p>
        </w:tc>
        <w:tc>
          <w:tcPr>
            <w:tcW w:w="646" w:type="dxa"/>
          </w:tcPr>
          <w:p>
            <w:pPr>
              <w:spacing w:line="360" w:lineRule="auto"/>
              <w:rPr>
                <w:rFonts w:hint="eastAsia" w:ascii="楷体" w:hAnsi="楷体" w:eastAsia="楷体" w:cs="宋体"/>
                <w:sz w:val="24"/>
                <w:szCs w:val="24"/>
                <w:lang w:val="en-US" w:eastAsia="zh-CN"/>
              </w:rPr>
            </w:pPr>
          </w:p>
          <w:p>
            <w:pPr>
              <w:spacing w:line="360" w:lineRule="auto"/>
              <w:rPr>
                <w:rFonts w:hint="eastAsia" w:ascii="楷体" w:hAnsi="楷体" w:eastAsia="楷体" w:cs="宋体"/>
                <w:sz w:val="24"/>
                <w:szCs w:val="24"/>
                <w:lang w:val="en-US" w:eastAsia="zh-CN"/>
              </w:rPr>
            </w:pPr>
          </w:p>
          <w:p>
            <w:pPr>
              <w:spacing w:line="360" w:lineRule="auto"/>
              <w:rPr>
                <w:rFonts w:hint="eastAsia" w:ascii="楷体" w:hAnsi="楷体" w:eastAsia="楷体" w:cs="宋体"/>
                <w:sz w:val="24"/>
                <w:szCs w:val="24"/>
                <w:lang w:val="en-US" w:eastAsia="zh-CN"/>
              </w:rPr>
            </w:pPr>
          </w:p>
          <w:p>
            <w:pPr>
              <w:spacing w:line="360" w:lineRule="auto"/>
              <w:rPr>
                <w:rFonts w:hint="eastAsia" w:ascii="楷体" w:hAnsi="楷体" w:eastAsia="楷体" w:cs="宋体"/>
                <w:sz w:val="24"/>
                <w:szCs w:val="24"/>
                <w:lang w:val="en-US" w:eastAsia="zh-CN"/>
              </w:rPr>
            </w:pPr>
          </w:p>
          <w:p>
            <w:pPr>
              <w:spacing w:line="360" w:lineRule="auto"/>
              <w:rPr>
                <w:rFonts w:hint="eastAsia" w:ascii="楷体" w:hAnsi="楷体" w:eastAsia="楷体" w:cs="宋体"/>
                <w:sz w:val="24"/>
                <w:szCs w:val="24"/>
                <w:lang w:val="en-US" w:eastAsia="zh-CN"/>
              </w:rPr>
            </w:pPr>
          </w:p>
          <w:p>
            <w:pPr>
              <w:spacing w:line="360" w:lineRule="auto"/>
              <w:rPr>
                <w:rFonts w:ascii="楷体" w:hAnsi="楷体" w:eastAsia="楷体"/>
                <w:sz w:val="24"/>
                <w:szCs w:val="24"/>
              </w:rPr>
            </w:pPr>
            <w:r>
              <w:rPr>
                <w:rFonts w:hint="eastAsia" w:ascii="楷体" w:hAnsi="楷体" w:eastAsia="楷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892" w:type="dxa"/>
            <w:vAlign w:val="center"/>
          </w:tcPr>
          <w:p>
            <w:pPr>
              <w:spacing w:line="360" w:lineRule="auto"/>
              <w:rPr>
                <w:rFonts w:ascii="楷体" w:hAnsi="楷体" w:eastAsia="楷体"/>
                <w:sz w:val="24"/>
                <w:szCs w:val="24"/>
              </w:rPr>
            </w:pPr>
            <w:r>
              <w:rPr>
                <w:rFonts w:hint="eastAsia" w:ascii="楷体" w:hAnsi="楷体" w:eastAsia="楷体"/>
                <w:sz w:val="24"/>
                <w:szCs w:val="24"/>
              </w:rPr>
              <w:t>方针</w:t>
            </w:r>
          </w:p>
        </w:tc>
        <w:tc>
          <w:tcPr>
            <w:tcW w:w="1228" w:type="dxa"/>
            <w:vAlign w:val="center"/>
          </w:tcPr>
          <w:p>
            <w:pPr>
              <w:spacing w:line="360" w:lineRule="auto"/>
              <w:rPr>
                <w:rFonts w:ascii="楷体" w:hAnsi="楷体" w:eastAsia="楷体"/>
                <w:sz w:val="24"/>
                <w:szCs w:val="24"/>
              </w:rPr>
            </w:pPr>
            <w:r>
              <w:rPr>
                <w:rFonts w:hint="eastAsia" w:ascii="楷体" w:hAnsi="楷体" w:eastAsia="楷体"/>
                <w:sz w:val="24"/>
                <w:szCs w:val="24"/>
                <w:lang w:eastAsia="zh-CN"/>
              </w:rPr>
              <w:t>E/O：</w:t>
            </w:r>
            <w:r>
              <w:rPr>
                <w:rFonts w:hint="eastAsia" w:ascii="楷体" w:hAnsi="楷体" w:eastAsia="楷体"/>
                <w:sz w:val="24"/>
                <w:szCs w:val="24"/>
              </w:rPr>
              <w:t>5.2</w:t>
            </w:r>
          </w:p>
          <w:p>
            <w:pPr>
              <w:spacing w:line="360" w:lineRule="auto"/>
              <w:rPr>
                <w:rFonts w:ascii="楷体" w:hAnsi="楷体" w:eastAsia="楷体"/>
                <w:sz w:val="24"/>
                <w:szCs w:val="24"/>
              </w:rPr>
            </w:pPr>
            <w:r>
              <w:rPr>
                <w:rFonts w:hint="eastAsia" w:ascii="楷体" w:hAnsi="楷体" w:eastAsia="楷体"/>
                <w:sz w:val="24"/>
                <w:szCs w:val="24"/>
              </w:rPr>
              <w:t xml:space="preserve"> </w:t>
            </w:r>
          </w:p>
        </w:tc>
        <w:tc>
          <w:tcPr>
            <w:tcW w:w="10943" w:type="dxa"/>
            <w:vAlign w:val="center"/>
          </w:tcPr>
          <w:p>
            <w:pPr>
              <w:pStyle w:val="5"/>
              <w:rPr>
                <w:rFonts w:hint="eastAsia" w:ascii="Times New Roman" w:hAnsi="Times New Roman" w:eastAsia="宋体" w:cs="Times New Roman"/>
                <w:sz w:val="21"/>
                <w:szCs w:val="21"/>
                <w:lang w:val="en-US" w:eastAsia="zh-CN"/>
              </w:rPr>
            </w:pPr>
            <w:r>
              <w:rPr>
                <w:rFonts w:hint="eastAsia" w:ascii="楷体" w:hAnsi="楷体" w:eastAsia="楷体"/>
                <w:sz w:val="24"/>
                <w:szCs w:val="24"/>
              </w:rPr>
              <w:t>企</w:t>
            </w:r>
            <w:r>
              <w:rPr>
                <w:rFonts w:hint="eastAsia" w:ascii="Times New Roman" w:hAnsi="Times New Roman" w:eastAsia="宋体" w:cs="Times New Roman"/>
                <w:sz w:val="21"/>
                <w:szCs w:val="21"/>
                <w:lang w:val="en-US" w:eastAsia="zh-CN"/>
              </w:rPr>
              <w:t>业已经制定环境、职业健康安全方针，具体包含在《管理手册》，</w:t>
            </w:r>
          </w:p>
          <w:p>
            <w:pPr>
              <w:pStyle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公司的环境、职业健康安全方针：</w:t>
            </w:r>
          </w:p>
          <w:p>
            <w:pPr>
              <w:pStyle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遵纪守法，重视效益，防治污染，持续发展；</w:t>
            </w:r>
          </w:p>
          <w:p>
            <w:pPr>
              <w:pStyle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以人为本，遵纪守法，预防危害，持续改进。</w:t>
            </w:r>
          </w:p>
          <w:p>
            <w:pPr>
              <w:pStyle w:val="5"/>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查领导层参与制定管理体系方针的情况，是否熟悉组织的管理体系方针内容、含义：</w:t>
            </w:r>
          </w:p>
          <w:p>
            <w:pPr>
              <w:pStyle w:val="5"/>
              <w:rPr>
                <w:rFonts w:ascii="楷体" w:hAnsi="楷体" w:eastAsia="楷体"/>
                <w:sz w:val="24"/>
                <w:szCs w:val="24"/>
              </w:rPr>
            </w:pPr>
            <w:r>
              <w:rPr>
                <w:rFonts w:hint="eastAsia" w:ascii="Times New Roman" w:hAnsi="Times New Roman" w:eastAsia="宋体" w:cs="Times New Roman"/>
                <w:sz w:val="21"/>
                <w:szCs w:val="21"/>
                <w:lang w:val="en-US" w:eastAsia="zh-CN"/>
              </w:rPr>
              <w:t>总经理:王磊；管代：张福林，按照标准要求制订的方针，对体系知识的学习还需加强。管理评审对质量、环境、职业健康安全方针的适宜性作了评审，判定适宜，适合公司的发展需求。</w:t>
            </w:r>
          </w:p>
        </w:tc>
        <w:tc>
          <w:tcPr>
            <w:tcW w:w="646" w:type="dxa"/>
          </w:tcPr>
          <w:p>
            <w:pPr>
              <w:spacing w:line="360" w:lineRule="auto"/>
              <w:rPr>
                <w:rFonts w:hint="eastAsia" w:ascii="楷体" w:hAnsi="楷体" w:eastAsia="楷体" w:cs="宋体"/>
                <w:sz w:val="24"/>
                <w:szCs w:val="24"/>
                <w:lang w:val="en-US" w:eastAsia="zh-CN"/>
              </w:rPr>
            </w:pPr>
          </w:p>
          <w:p>
            <w:pPr>
              <w:spacing w:line="360" w:lineRule="auto"/>
              <w:rPr>
                <w:rFonts w:hint="eastAsia" w:ascii="楷体" w:hAnsi="楷体" w:eastAsia="楷体" w:cs="宋体"/>
                <w:sz w:val="24"/>
                <w:szCs w:val="24"/>
                <w:lang w:val="en-US" w:eastAsia="zh-CN"/>
              </w:rPr>
            </w:pPr>
          </w:p>
          <w:p>
            <w:pPr>
              <w:spacing w:line="360" w:lineRule="auto"/>
              <w:rPr>
                <w:rFonts w:hint="eastAsia" w:ascii="楷体" w:hAnsi="楷体" w:eastAsia="楷体" w:cs="宋体"/>
                <w:sz w:val="24"/>
                <w:szCs w:val="24"/>
                <w:lang w:val="en-US" w:eastAsia="zh-CN"/>
              </w:rPr>
            </w:pPr>
          </w:p>
          <w:p>
            <w:pPr>
              <w:spacing w:line="360" w:lineRule="auto"/>
              <w:ind w:firstLine="240" w:firstLineChars="100"/>
              <w:rPr>
                <w:rFonts w:ascii="楷体" w:hAnsi="楷体" w:eastAsia="楷体" w:cs="宋体"/>
                <w:sz w:val="24"/>
                <w:szCs w:val="24"/>
              </w:rPr>
            </w:pPr>
            <w:r>
              <w:rPr>
                <w:rFonts w:hint="eastAsia" w:ascii="楷体" w:hAnsi="楷体" w:eastAsia="楷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楷体" w:hAnsi="楷体" w:eastAsia="楷体"/>
                <w:sz w:val="24"/>
                <w:szCs w:val="24"/>
              </w:rPr>
            </w:pPr>
            <w:r>
              <w:rPr>
                <w:rFonts w:hint="eastAsia" w:ascii="楷体" w:hAnsi="楷体" w:eastAsia="楷体"/>
                <w:sz w:val="24"/>
                <w:szCs w:val="24"/>
              </w:rPr>
              <w:t>应对风险和机会的措施</w:t>
            </w:r>
          </w:p>
        </w:tc>
        <w:tc>
          <w:tcPr>
            <w:tcW w:w="1228" w:type="dxa"/>
            <w:vAlign w:val="center"/>
          </w:tcPr>
          <w:p>
            <w:pPr>
              <w:spacing w:line="360" w:lineRule="auto"/>
              <w:rPr>
                <w:rFonts w:ascii="楷体" w:hAnsi="楷体" w:eastAsia="楷体"/>
                <w:sz w:val="24"/>
                <w:szCs w:val="24"/>
              </w:rPr>
            </w:pPr>
            <w:r>
              <w:rPr>
                <w:rFonts w:hint="eastAsia" w:ascii="楷体" w:hAnsi="楷体" w:eastAsia="楷体"/>
                <w:sz w:val="24"/>
                <w:szCs w:val="24"/>
                <w:lang w:eastAsia="zh-CN"/>
              </w:rPr>
              <w:t>E/O：</w:t>
            </w:r>
            <w:r>
              <w:rPr>
                <w:rFonts w:hint="eastAsia" w:ascii="楷体" w:hAnsi="楷体" w:eastAsia="楷体"/>
                <w:sz w:val="24"/>
                <w:szCs w:val="24"/>
              </w:rPr>
              <w:t>6.1</w:t>
            </w:r>
          </w:p>
        </w:tc>
        <w:tc>
          <w:tcPr>
            <w:tcW w:w="10943" w:type="dxa"/>
            <w:vAlign w:val="center"/>
          </w:tcPr>
          <w:p>
            <w:pPr>
              <w:spacing w:line="360" w:lineRule="auto"/>
              <w:rPr>
                <w:rFonts w:ascii="楷体" w:hAnsi="楷体" w:eastAsia="楷体"/>
                <w:sz w:val="24"/>
                <w:szCs w:val="24"/>
              </w:rPr>
            </w:pPr>
            <w:r>
              <w:rPr>
                <w:rFonts w:hint="eastAsia" w:ascii="Times New Roman" w:hAnsi="Times New Roman" w:eastAsia="宋体" w:cs="Times New Roman"/>
                <w:kern w:val="2"/>
                <w:sz w:val="21"/>
                <w:szCs w:val="21"/>
                <w:lang w:val="en-US" w:eastAsia="zh-CN" w:bidi="ar-SA"/>
              </w:rPr>
              <w:t>编制有《风险和机遇的应对控制程序SX/QEOM.CX13-2020》，对组织内外的风险和机遇进行了策划。提供“风险和机遇评估分析表”，识别了风险和机遇来源、风险和机遇内容、管理措施、责任部门、实时时间、评价措施等，没有变化。</w:t>
            </w:r>
          </w:p>
        </w:tc>
        <w:tc>
          <w:tcPr>
            <w:tcW w:w="646" w:type="dxa"/>
          </w:tcPr>
          <w:p>
            <w:pPr>
              <w:spacing w:line="360" w:lineRule="auto"/>
              <w:ind w:firstLine="240" w:firstLineChars="100"/>
              <w:rPr>
                <w:rFonts w:ascii="楷体" w:hAnsi="楷体" w:eastAsia="楷体" w:cs="宋体"/>
                <w:sz w:val="24"/>
                <w:szCs w:val="24"/>
              </w:rPr>
            </w:pPr>
            <w:r>
              <w:rPr>
                <w:rFonts w:hint="eastAsia" w:ascii="楷体" w:hAnsi="楷体" w:eastAsia="楷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楷体" w:hAnsi="楷体" w:eastAsia="楷体"/>
                <w:sz w:val="24"/>
                <w:szCs w:val="24"/>
              </w:rPr>
            </w:pPr>
            <w:r>
              <w:rPr>
                <w:rFonts w:hint="eastAsia" w:ascii="楷体" w:hAnsi="楷体" w:eastAsia="楷体"/>
                <w:sz w:val="24"/>
                <w:szCs w:val="24"/>
              </w:rPr>
              <w:t>目标和措施计划（管理方案）</w:t>
            </w:r>
          </w:p>
        </w:tc>
        <w:tc>
          <w:tcPr>
            <w:tcW w:w="1228" w:type="dxa"/>
            <w:vAlign w:val="center"/>
          </w:tcPr>
          <w:p>
            <w:pPr>
              <w:spacing w:line="360" w:lineRule="auto"/>
              <w:rPr>
                <w:rFonts w:ascii="楷体" w:hAnsi="楷体" w:eastAsia="楷体"/>
                <w:sz w:val="24"/>
                <w:szCs w:val="24"/>
              </w:rPr>
            </w:pPr>
            <w:r>
              <w:rPr>
                <w:rFonts w:hint="eastAsia" w:ascii="楷体" w:hAnsi="楷体" w:eastAsia="楷体"/>
                <w:sz w:val="24"/>
                <w:szCs w:val="24"/>
                <w:lang w:eastAsia="zh-CN"/>
              </w:rPr>
              <w:t>E/O：</w:t>
            </w:r>
            <w:r>
              <w:rPr>
                <w:rFonts w:hint="eastAsia" w:ascii="楷体" w:hAnsi="楷体" w:eastAsia="楷体"/>
                <w:sz w:val="24"/>
                <w:szCs w:val="24"/>
              </w:rPr>
              <w:t xml:space="preserve">6.2   </w:t>
            </w:r>
          </w:p>
        </w:tc>
        <w:tc>
          <w:tcPr>
            <w:tcW w:w="10943" w:type="dxa"/>
            <w:vAlign w:val="center"/>
          </w:tcPr>
          <w:p>
            <w:pPr>
              <w:spacing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环境管理目标：a)固体废弃物分类管理</w:t>
            </w:r>
          </w:p>
          <w:p>
            <w:pPr>
              <w:spacing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b)环保无环保投诉</w:t>
            </w:r>
          </w:p>
          <w:p>
            <w:pPr>
              <w:spacing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c)火灾事故为零          </w:t>
            </w:r>
          </w:p>
          <w:p>
            <w:pPr>
              <w:spacing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职业健康安全目标：a)重大安全事故为零</w:t>
            </w:r>
          </w:p>
          <w:p>
            <w:pPr>
              <w:spacing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b)员工职业病为零</w:t>
            </w:r>
          </w:p>
          <w:p>
            <w:pPr>
              <w:spacing w:line="360" w:lineRule="auto"/>
              <w:rPr>
                <w:rFonts w:ascii="楷体" w:hAnsi="楷体" w:eastAsia="楷体"/>
                <w:sz w:val="24"/>
                <w:szCs w:val="24"/>
              </w:rPr>
            </w:pPr>
            <w:r>
              <w:rPr>
                <w:rFonts w:hint="eastAsia" w:ascii="Times New Roman" w:hAnsi="Times New Roman" w:eastAsia="宋体" w:cs="Times New Roman"/>
                <w:kern w:val="2"/>
                <w:sz w:val="21"/>
                <w:szCs w:val="21"/>
                <w:lang w:val="en-US" w:eastAsia="zh-CN" w:bidi="ar-SA"/>
              </w:rPr>
              <w:t>组织对公司质量、环境、职业健康安全目标、指标予以分解，并在相关职能层次部门建立分目标，2021.7.5日经考核已完成，考核人周楸智。</w:t>
            </w:r>
          </w:p>
        </w:tc>
        <w:tc>
          <w:tcPr>
            <w:tcW w:w="646" w:type="dxa"/>
          </w:tcPr>
          <w:p>
            <w:pPr>
              <w:spacing w:line="360" w:lineRule="auto"/>
              <w:ind w:firstLine="240" w:firstLineChars="100"/>
              <w:rPr>
                <w:rFonts w:hint="default" w:ascii="楷体" w:hAnsi="楷体" w:eastAsia="楷体" w:cs="宋体"/>
                <w:sz w:val="24"/>
                <w:szCs w:val="24"/>
                <w:lang w:val="en-US"/>
              </w:rPr>
            </w:pPr>
            <w:r>
              <w:rPr>
                <w:rFonts w:hint="eastAsia" w:ascii="楷体" w:hAnsi="楷体" w:eastAsia="楷体" w:cs="宋体"/>
                <w:sz w:val="24"/>
                <w:szCs w:val="24"/>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楷体" w:hAnsi="楷体" w:eastAsia="楷体"/>
                <w:sz w:val="24"/>
                <w:szCs w:val="24"/>
              </w:rPr>
            </w:pPr>
            <w:r>
              <w:rPr>
                <w:rFonts w:hint="eastAsia" w:ascii="楷体" w:hAnsi="楷体" w:eastAsia="楷体"/>
                <w:sz w:val="24"/>
                <w:szCs w:val="24"/>
              </w:rPr>
              <w:t>资源</w:t>
            </w:r>
          </w:p>
        </w:tc>
        <w:tc>
          <w:tcPr>
            <w:tcW w:w="1228" w:type="dxa"/>
            <w:vAlign w:val="center"/>
          </w:tcPr>
          <w:p>
            <w:pPr>
              <w:spacing w:line="360" w:lineRule="auto"/>
              <w:rPr>
                <w:rFonts w:ascii="楷体" w:hAnsi="楷体" w:eastAsia="楷体"/>
                <w:sz w:val="24"/>
                <w:szCs w:val="24"/>
              </w:rPr>
            </w:pPr>
            <w:r>
              <w:rPr>
                <w:rFonts w:hint="eastAsia" w:ascii="楷体" w:hAnsi="楷体" w:eastAsia="楷体"/>
                <w:sz w:val="24"/>
                <w:szCs w:val="24"/>
              </w:rPr>
              <w:t xml:space="preserve"> </w:t>
            </w:r>
          </w:p>
          <w:p>
            <w:pPr>
              <w:spacing w:line="360" w:lineRule="auto"/>
              <w:rPr>
                <w:rFonts w:ascii="楷体" w:hAnsi="楷体" w:eastAsia="楷体"/>
                <w:sz w:val="24"/>
                <w:szCs w:val="24"/>
              </w:rPr>
            </w:pPr>
            <w:r>
              <w:rPr>
                <w:rFonts w:hint="eastAsia" w:ascii="楷体" w:hAnsi="楷体" w:eastAsia="楷体"/>
                <w:sz w:val="24"/>
                <w:szCs w:val="24"/>
              </w:rPr>
              <w:t>E/</w:t>
            </w:r>
            <w:r>
              <w:rPr>
                <w:rFonts w:hint="eastAsia" w:ascii="楷体" w:hAnsi="楷体" w:eastAsia="楷体"/>
                <w:sz w:val="24"/>
                <w:szCs w:val="24"/>
                <w:lang w:val="en-US" w:eastAsia="zh-CN"/>
              </w:rPr>
              <w:t>O：</w:t>
            </w:r>
            <w:r>
              <w:rPr>
                <w:rFonts w:hint="eastAsia" w:ascii="楷体" w:hAnsi="楷体" w:eastAsia="楷体"/>
                <w:sz w:val="24"/>
                <w:szCs w:val="24"/>
              </w:rPr>
              <w:t>7.1</w:t>
            </w:r>
          </w:p>
        </w:tc>
        <w:tc>
          <w:tcPr>
            <w:tcW w:w="10943" w:type="dxa"/>
            <w:vAlign w:val="center"/>
          </w:tcPr>
          <w:p>
            <w:pPr>
              <w:spacing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pPr>
              <w:spacing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总经理王磊主持了今年的管理评审，对方针、目标的适宜性进行了评审，协助管代进行了内审，确保所需资源得到满足。</w:t>
            </w:r>
          </w:p>
          <w:p>
            <w:pPr>
              <w:spacing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福利费用等投入方面。</w:t>
            </w:r>
          </w:p>
          <w:p>
            <w:pPr>
              <w:spacing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通过现场观察及与领导沟通了解到，公司为确保管理体系的有效运行和持续改进，确保满足顾客要求，增强顾客满意，确定并提供了必要的资源，目前销售和办公资源配备基本能满足要求，机构设置合理。</w:t>
            </w:r>
          </w:p>
          <w:p>
            <w:pPr>
              <w:spacing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公司目前的基础设施，能够满足当前三体系的要求。</w:t>
            </w:r>
          </w:p>
          <w:p>
            <w:pPr>
              <w:spacing w:line="360" w:lineRule="auto"/>
              <w:rPr>
                <w:rFonts w:ascii="楷体" w:hAnsi="楷体" w:eastAsia="楷体"/>
                <w:sz w:val="24"/>
                <w:szCs w:val="24"/>
              </w:rPr>
            </w:pPr>
            <w:r>
              <w:rPr>
                <w:rFonts w:hint="eastAsia" w:ascii="Times New Roman" w:hAnsi="Times New Roman" w:eastAsia="宋体" w:cs="Times New Roman"/>
                <w:kern w:val="2"/>
                <w:sz w:val="21"/>
                <w:szCs w:val="21"/>
                <w:lang w:val="en-US" w:eastAsia="zh-CN" w:bidi="ar-SA"/>
              </w:rPr>
              <w:t>公司将依据经营发展的需要，会不断补充与增加。</w:t>
            </w:r>
          </w:p>
        </w:tc>
        <w:tc>
          <w:tcPr>
            <w:tcW w:w="646" w:type="dxa"/>
          </w:tcPr>
          <w:p>
            <w:pPr>
              <w:spacing w:line="360" w:lineRule="auto"/>
            </w:pPr>
          </w:p>
          <w:p>
            <w:pPr>
              <w:pStyle w:val="2"/>
              <w:rPr>
                <w:rFonts w:ascii="楷体" w:hAnsi="楷体" w:eastAsia="楷体" w:cs="宋体"/>
                <w:sz w:val="24"/>
                <w:szCs w:val="24"/>
              </w:rPr>
            </w:pPr>
          </w:p>
          <w:p>
            <w:pPr>
              <w:pStyle w:val="2"/>
              <w:rPr>
                <w:rFonts w:ascii="楷体" w:hAnsi="楷体" w:eastAsia="楷体" w:cs="宋体"/>
                <w:sz w:val="24"/>
                <w:szCs w:val="24"/>
              </w:rPr>
            </w:pPr>
            <w:r>
              <w:rPr>
                <w:rFonts w:hint="eastAsia" w:ascii="楷体" w:hAnsi="楷体" w:eastAsia="楷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92" w:type="dxa"/>
            <w:vAlign w:val="center"/>
          </w:tcPr>
          <w:p>
            <w:pPr>
              <w:spacing w:line="360" w:lineRule="auto"/>
              <w:rPr>
                <w:rFonts w:ascii="楷体" w:hAnsi="楷体" w:eastAsia="楷体"/>
                <w:sz w:val="24"/>
                <w:szCs w:val="24"/>
              </w:rPr>
            </w:pPr>
            <w:r>
              <w:rPr>
                <w:rFonts w:hint="eastAsia" w:ascii="楷体" w:hAnsi="楷体" w:eastAsia="楷体"/>
                <w:sz w:val="24"/>
                <w:szCs w:val="24"/>
              </w:rPr>
              <w:t>沟通、</w:t>
            </w:r>
          </w:p>
          <w:p>
            <w:pPr>
              <w:spacing w:line="360" w:lineRule="auto"/>
              <w:rPr>
                <w:rFonts w:ascii="楷体" w:hAnsi="楷体" w:eastAsia="楷体"/>
                <w:sz w:val="24"/>
                <w:szCs w:val="24"/>
              </w:rPr>
            </w:pPr>
            <w:r>
              <w:rPr>
                <w:rFonts w:hint="eastAsia" w:ascii="楷体" w:hAnsi="楷体" w:eastAsia="楷体"/>
                <w:sz w:val="24"/>
                <w:szCs w:val="24"/>
              </w:rPr>
              <w:t>安全事务代表</w:t>
            </w:r>
          </w:p>
        </w:tc>
        <w:tc>
          <w:tcPr>
            <w:tcW w:w="1228" w:type="dxa"/>
            <w:vAlign w:val="center"/>
          </w:tcPr>
          <w:p>
            <w:pPr>
              <w:spacing w:line="360" w:lineRule="auto"/>
              <w:rPr>
                <w:rFonts w:ascii="楷体" w:hAnsi="楷体" w:eastAsia="楷体"/>
                <w:sz w:val="24"/>
                <w:szCs w:val="24"/>
              </w:rPr>
            </w:pPr>
            <w:r>
              <w:rPr>
                <w:rFonts w:hint="eastAsia" w:ascii="楷体" w:hAnsi="楷体" w:eastAsia="楷体"/>
                <w:sz w:val="24"/>
                <w:szCs w:val="24"/>
                <w:lang w:eastAsia="zh-CN"/>
              </w:rPr>
              <w:t>E/O：</w:t>
            </w:r>
            <w:r>
              <w:rPr>
                <w:rFonts w:hint="eastAsia" w:ascii="楷体" w:hAnsi="楷体" w:eastAsia="楷体"/>
                <w:sz w:val="24"/>
                <w:szCs w:val="24"/>
              </w:rPr>
              <w:t xml:space="preserve">7.4  </w:t>
            </w:r>
            <w:r>
              <w:rPr>
                <w:rFonts w:hint="eastAsia" w:ascii="楷体" w:hAnsi="楷体" w:eastAsia="楷体"/>
                <w:sz w:val="24"/>
                <w:szCs w:val="24"/>
                <w:lang w:val="en-US" w:eastAsia="zh-CN"/>
              </w:rPr>
              <w:t>O</w:t>
            </w:r>
            <w:r>
              <w:rPr>
                <w:rFonts w:hint="eastAsia" w:ascii="楷体" w:hAnsi="楷体" w:eastAsia="楷体"/>
                <w:sz w:val="24"/>
                <w:szCs w:val="24"/>
              </w:rPr>
              <w:t>5.4</w:t>
            </w:r>
          </w:p>
        </w:tc>
        <w:tc>
          <w:tcPr>
            <w:tcW w:w="10943" w:type="dxa"/>
            <w:vAlign w:val="center"/>
          </w:tcPr>
          <w:p>
            <w:pPr>
              <w:spacing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编制有《信息交流、沟通、参与和协商控制程序SX/QEOM.CX04-2020》。 </w:t>
            </w:r>
          </w:p>
          <w:p>
            <w:pPr>
              <w:spacing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组织在各部门之间建立了与体系有关的信息通渠沟道，借助于会议、电话、口头交流等方式使全体员工达到沟通和理解。目前各部门协调一致，工作上的借口基本理顺。</w:t>
            </w:r>
          </w:p>
          <w:p>
            <w:pPr>
              <w:spacing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总经理王磊定期主持经营办公例会，分析公司的发展、市场情况和体系运行是否有效，管理目标完成情况，满足顾客要求和法规程度，改进建议等内部管理存在问题等。  </w:t>
            </w:r>
          </w:p>
          <w:p>
            <w:pPr>
              <w:spacing w:line="360" w:lineRule="auto"/>
              <w:rPr>
                <w:rFonts w:hint="eastAsia" w:ascii="宋体" w:hAnsi="宋体" w:eastAsia="宋体" w:cs="宋体"/>
                <w:kern w:val="2"/>
                <w:sz w:val="21"/>
                <w:szCs w:val="21"/>
                <w:lang w:val="en-US" w:eastAsia="zh-CN" w:bidi="ar-SA"/>
              </w:rPr>
            </w:pPr>
            <w:r>
              <w:rPr>
                <w:rFonts w:hint="eastAsia" w:ascii="Times New Roman" w:hAnsi="Times New Roman" w:eastAsia="宋体" w:cs="Times New Roman"/>
                <w:kern w:val="2"/>
                <w:sz w:val="21"/>
                <w:szCs w:val="21"/>
                <w:lang w:val="en-US" w:eastAsia="zh-CN" w:bidi="ar-SA"/>
              </w:rPr>
              <w:t>总经</w:t>
            </w:r>
            <w:r>
              <w:rPr>
                <w:rFonts w:hint="eastAsia" w:ascii="宋体" w:hAnsi="宋体" w:eastAsia="宋体" w:cs="宋体"/>
                <w:kern w:val="2"/>
                <w:sz w:val="21"/>
                <w:szCs w:val="21"/>
                <w:lang w:val="en-US" w:eastAsia="zh-CN" w:bidi="ar-SA"/>
              </w:rPr>
              <w:t xml:space="preserve">理王磊为协商、参与提供了时间、机会、培训、资源等保障，明确了沟通、协商、参与渠道，消除了障碍和壁垒。 </w:t>
            </w:r>
          </w:p>
          <w:p>
            <w:pPr>
              <w:tabs>
                <w:tab w:val="left" w:pos="9720"/>
                <w:tab w:val="left" w:pos="9900"/>
              </w:tabs>
              <w:spacing w:before="62" w:beforeLines="20" w:after="62" w:afterLines="2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代张福林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环保、安全方面的信息主要利用会议、培训、座谈、电话、网络、收文等方式进行内外部沟通和协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现场查见会议记录、通知通报、培训记录、文件签收等组织内部培训方式相关记录。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行政部是内外部信息交流的中心，通过会议、邮件、培训等形式进行内部交流，向外部接收各种文件传递各种报表，外部沟通联络的部门有环保部门、劳动部门、消防安全部门、质监部门、安监部门及合同方等。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经交流：目前与环保、劳动、消防、安监部门的信息交流主要是参加会议、接收来文、电话、邮件等，均按要求予以传达和落实，沟通情况较好。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相关人员能够适当参与并协商办理公司经营管理及安全事务等工作。</w:t>
            </w:r>
          </w:p>
          <w:p>
            <w:pPr>
              <w:tabs>
                <w:tab w:val="left" w:pos="9720"/>
                <w:tab w:val="left" w:pos="9900"/>
              </w:tabs>
              <w:spacing w:line="360" w:lineRule="auto"/>
              <w:ind w:firstLine="420"/>
              <w:rPr>
                <w:rFonts w:hint="eastAsia" w:ascii="宋体" w:hAnsi="宋体" w:eastAsia="宋体" w:cs="宋体"/>
                <w:sz w:val="21"/>
                <w:szCs w:val="21"/>
              </w:rPr>
            </w:pPr>
            <w:r>
              <w:rPr>
                <w:rFonts w:hint="eastAsia" w:ascii="宋体" w:hAnsi="宋体" w:eastAsia="宋体" w:cs="宋体"/>
                <w:sz w:val="21"/>
                <w:szCs w:val="21"/>
              </w:rPr>
              <w:t>公司经选举确定职业健康安全事务代表是王琪，</w:t>
            </w:r>
          </w:p>
          <w:p>
            <w:pPr>
              <w:tabs>
                <w:tab w:val="left" w:pos="9720"/>
                <w:tab w:val="left" w:pos="9900"/>
              </w:tabs>
              <w:spacing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1）参与环境因素及危险源辨识、风险评价和风险控制； </w:t>
            </w:r>
          </w:p>
          <w:p>
            <w:pPr>
              <w:tabs>
                <w:tab w:val="left" w:pos="9720"/>
                <w:tab w:val="left" w:pos="9900"/>
              </w:tabs>
              <w:spacing w:line="360" w:lineRule="auto"/>
              <w:ind w:firstLine="420"/>
              <w:rPr>
                <w:rFonts w:hint="eastAsia" w:ascii="宋体" w:hAnsi="宋体" w:eastAsia="宋体" w:cs="宋体"/>
                <w:sz w:val="21"/>
                <w:szCs w:val="21"/>
              </w:rPr>
            </w:pPr>
            <w:r>
              <w:rPr>
                <w:rFonts w:hint="eastAsia" w:ascii="宋体" w:hAnsi="宋体" w:eastAsia="宋体" w:cs="宋体"/>
                <w:sz w:val="21"/>
                <w:szCs w:val="21"/>
              </w:rPr>
              <w:t>2）参与职业健康安全和环保协商、评审和改进活动，并向最高管理者反映职业健康安全和环保问题；</w:t>
            </w:r>
          </w:p>
          <w:p>
            <w:pPr>
              <w:tabs>
                <w:tab w:val="left" w:pos="9720"/>
                <w:tab w:val="left" w:pos="9900"/>
              </w:tabs>
              <w:spacing w:line="360" w:lineRule="auto"/>
              <w:ind w:firstLine="420"/>
              <w:rPr>
                <w:rFonts w:hint="eastAsia" w:ascii="宋体" w:hAnsi="宋体" w:eastAsia="宋体" w:cs="宋体"/>
                <w:sz w:val="21"/>
                <w:szCs w:val="21"/>
              </w:rPr>
            </w:pPr>
            <w:r>
              <w:rPr>
                <w:rFonts w:hint="eastAsia" w:ascii="宋体" w:hAnsi="宋体" w:eastAsia="宋体" w:cs="宋体"/>
                <w:sz w:val="21"/>
                <w:szCs w:val="21"/>
              </w:rPr>
              <w:t>3）参与事故和事件的调查以及现场职业健康安全检查等职业健康安全事务；</w:t>
            </w:r>
          </w:p>
          <w:p>
            <w:pPr>
              <w:tabs>
                <w:tab w:val="left" w:pos="9720"/>
                <w:tab w:val="left" w:pos="9900"/>
              </w:tabs>
              <w:spacing w:line="360" w:lineRule="auto"/>
              <w:ind w:firstLine="420"/>
              <w:rPr>
                <w:rFonts w:hint="eastAsia" w:ascii="宋体" w:hAnsi="宋体" w:eastAsia="宋体" w:cs="宋体"/>
                <w:sz w:val="21"/>
                <w:szCs w:val="21"/>
              </w:rPr>
            </w:pPr>
            <w:r>
              <w:rPr>
                <w:rFonts w:hint="eastAsia" w:ascii="宋体" w:hAnsi="宋体" w:eastAsia="宋体" w:cs="宋体"/>
                <w:sz w:val="21"/>
                <w:szCs w:val="21"/>
              </w:rPr>
              <w:t>4)完成最高管理者就职业健康安全和环保方面要求的其他工作。</w:t>
            </w:r>
          </w:p>
          <w:p>
            <w:pPr>
              <w:tabs>
                <w:tab w:val="left" w:pos="9720"/>
                <w:tab w:val="left" w:pos="9900"/>
              </w:tabs>
              <w:spacing w:line="360" w:lineRule="auto"/>
              <w:ind w:firstLine="420"/>
              <w:rPr>
                <w:rFonts w:hint="eastAsia" w:ascii="宋体" w:hAnsi="宋体" w:eastAsia="宋体" w:cs="宋体"/>
                <w:sz w:val="21"/>
                <w:szCs w:val="21"/>
              </w:rPr>
            </w:pPr>
            <w:r>
              <w:rPr>
                <w:rFonts w:hint="eastAsia" w:ascii="宋体" w:hAnsi="宋体" w:eastAsia="宋体" w:cs="宋体"/>
                <w:sz w:val="21"/>
                <w:szCs w:val="21"/>
              </w:rPr>
              <w:t>由于公司福利待遇正常发放，员工无抱怨，目前信息交流机制畅通。</w:t>
            </w:r>
          </w:p>
          <w:p>
            <w:pPr>
              <w:tabs>
                <w:tab w:val="left" w:pos="9720"/>
                <w:tab w:val="left" w:pos="9900"/>
              </w:tabs>
              <w:spacing w:line="360" w:lineRule="auto"/>
              <w:rPr>
                <w:rFonts w:ascii="楷体" w:hAnsi="楷体" w:eastAsia="楷体"/>
                <w:sz w:val="24"/>
                <w:szCs w:val="24"/>
              </w:rPr>
            </w:pPr>
            <w:r>
              <w:rPr>
                <w:rFonts w:hint="eastAsia" w:ascii="宋体" w:hAnsi="宋体" w:eastAsia="宋体" w:cs="宋体"/>
                <w:sz w:val="21"/>
                <w:szCs w:val="21"/>
              </w:rPr>
              <w:t>现有的沟通渠道和方法能满足要求。审核中未发现因沟通不利不及时而造成（影响）某项工作不能正常运行的情况。</w:t>
            </w:r>
          </w:p>
        </w:tc>
        <w:tc>
          <w:tcPr>
            <w:tcW w:w="646" w:type="dxa"/>
          </w:tcPr>
          <w:p>
            <w:pPr>
              <w:spacing w:line="360" w:lineRule="auto"/>
              <w:rPr>
                <w:rFonts w:hint="eastAsia" w:ascii="楷体" w:hAnsi="楷体" w:eastAsia="楷体" w:cs="宋体"/>
                <w:sz w:val="24"/>
                <w:szCs w:val="24"/>
                <w:lang w:val="en-US" w:eastAsia="zh-CN"/>
              </w:rPr>
            </w:pPr>
          </w:p>
          <w:p>
            <w:pPr>
              <w:spacing w:line="360" w:lineRule="auto"/>
              <w:rPr>
                <w:rFonts w:hint="eastAsia" w:ascii="楷体" w:hAnsi="楷体" w:eastAsia="楷体" w:cs="宋体"/>
                <w:sz w:val="24"/>
                <w:szCs w:val="24"/>
                <w:lang w:val="en-US" w:eastAsia="zh-CN"/>
              </w:rPr>
            </w:pPr>
          </w:p>
          <w:p>
            <w:pPr>
              <w:spacing w:line="360" w:lineRule="auto"/>
              <w:rPr>
                <w:rFonts w:hint="eastAsia" w:ascii="楷体" w:hAnsi="楷体" w:eastAsia="楷体" w:cs="宋体"/>
                <w:sz w:val="24"/>
                <w:szCs w:val="24"/>
                <w:lang w:val="en-US" w:eastAsia="zh-CN"/>
              </w:rPr>
            </w:pPr>
          </w:p>
          <w:p>
            <w:pPr>
              <w:spacing w:line="360" w:lineRule="auto"/>
              <w:rPr>
                <w:rFonts w:hint="eastAsia" w:ascii="楷体" w:hAnsi="楷体" w:eastAsia="楷体" w:cs="宋体"/>
                <w:sz w:val="24"/>
                <w:szCs w:val="24"/>
                <w:lang w:val="en-US" w:eastAsia="zh-CN"/>
              </w:rPr>
            </w:pPr>
          </w:p>
          <w:p>
            <w:pPr>
              <w:spacing w:line="360" w:lineRule="auto"/>
              <w:rPr>
                <w:rFonts w:hint="eastAsia" w:ascii="楷体" w:hAnsi="楷体" w:eastAsia="楷体" w:cs="宋体"/>
                <w:sz w:val="24"/>
                <w:szCs w:val="24"/>
                <w:lang w:val="en-US" w:eastAsia="zh-CN"/>
              </w:rPr>
            </w:pPr>
          </w:p>
          <w:p>
            <w:pPr>
              <w:spacing w:line="360" w:lineRule="auto"/>
              <w:rPr>
                <w:rFonts w:hint="eastAsia" w:ascii="楷体" w:hAnsi="楷体" w:eastAsia="楷体" w:cs="宋体"/>
                <w:sz w:val="24"/>
                <w:szCs w:val="24"/>
                <w:lang w:val="en-US" w:eastAsia="zh-CN"/>
              </w:rPr>
            </w:pPr>
          </w:p>
          <w:p>
            <w:pPr>
              <w:spacing w:line="360" w:lineRule="auto"/>
              <w:rPr>
                <w:rFonts w:hint="eastAsia" w:ascii="楷体" w:hAnsi="楷体" w:eastAsia="楷体" w:cs="宋体"/>
                <w:sz w:val="24"/>
                <w:szCs w:val="24"/>
                <w:lang w:val="en-US" w:eastAsia="zh-CN"/>
              </w:rPr>
            </w:pPr>
          </w:p>
          <w:p>
            <w:pPr>
              <w:spacing w:line="360" w:lineRule="auto"/>
              <w:ind w:firstLine="240" w:firstLineChars="100"/>
              <w:rPr>
                <w:rFonts w:ascii="楷体" w:hAnsi="楷体" w:eastAsia="楷体"/>
                <w:sz w:val="24"/>
                <w:szCs w:val="24"/>
              </w:rPr>
            </w:pPr>
            <w:r>
              <w:rPr>
                <w:rFonts w:hint="eastAsia" w:ascii="楷体" w:hAnsi="楷体" w:eastAsia="楷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vAlign w:val="center"/>
          </w:tcPr>
          <w:p>
            <w:pPr>
              <w:spacing w:line="360" w:lineRule="auto"/>
              <w:rPr>
                <w:rFonts w:ascii="楷体" w:hAnsi="楷体" w:eastAsia="楷体"/>
                <w:sz w:val="24"/>
                <w:szCs w:val="24"/>
              </w:rPr>
            </w:pPr>
            <w:r>
              <w:rPr>
                <w:rFonts w:hint="eastAsia" w:ascii="楷体" w:hAnsi="楷体" w:eastAsia="楷体"/>
                <w:sz w:val="24"/>
                <w:szCs w:val="24"/>
              </w:rPr>
              <w:t>管理评审</w:t>
            </w:r>
          </w:p>
        </w:tc>
        <w:tc>
          <w:tcPr>
            <w:tcW w:w="1228" w:type="dxa"/>
            <w:vAlign w:val="center"/>
          </w:tcPr>
          <w:p>
            <w:pPr>
              <w:spacing w:line="360" w:lineRule="auto"/>
              <w:rPr>
                <w:rFonts w:ascii="楷体" w:hAnsi="楷体" w:eastAsia="楷体"/>
                <w:sz w:val="24"/>
                <w:szCs w:val="24"/>
              </w:rPr>
            </w:pPr>
            <w:r>
              <w:rPr>
                <w:rFonts w:hint="eastAsia" w:ascii="楷体" w:hAnsi="楷体" w:eastAsia="楷体"/>
                <w:sz w:val="24"/>
                <w:szCs w:val="24"/>
                <w:lang w:eastAsia="zh-CN"/>
              </w:rPr>
              <w:t>E/O：</w:t>
            </w:r>
            <w:r>
              <w:rPr>
                <w:rFonts w:hint="eastAsia" w:ascii="楷体" w:hAnsi="楷体" w:eastAsia="楷体"/>
                <w:sz w:val="24"/>
                <w:szCs w:val="24"/>
              </w:rPr>
              <w:t xml:space="preserve">9.3  </w:t>
            </w:r>
          </w:p>
          <w:p>
            <w:pPr>
              <w:spacing w:line="360" w:lineRule="auto"/>
              <w:rPr>
                <w:rFonts w:ascii="楷体" w:hAnsi="楷体" w:eastAsia="楷体"/>
                <w:sz w:val="24"/>
                <w:szCs w:val="24"/>
              </w:rPr>
            </w:pPr>
            <w:r>
              <w:rPr>
                <w:rFonts w:hint="eastAsia" w:ascii="楷体" w:hAnsi="楷体" w:eastAsia="楷体"/>
                <w:sz w:val="24"/>
                <w:szCs w:val="24"/>
              </w:rPr>
              <w:t xml:space="preserve"> </w:t>
            </w:r>
          </w:p>
        </w:tc>
        <w:tc>
          <w:tcPr>
            <w:tcW w:w="10943" w:type="dxa"/>
            <w:vAlign w:val="center"/>
          </w:tcPr>
          <w:p>
            <w:pPr>
              <w:spacing w:line="360" w:lineRule="auto"/>
              <w:ind w:firstLine="420" w:firstLineChars="200"/>
              <w:rPr>
                <w:rFonts w:hint="eastAsia" w:ascii="宋体" w:hAnsi="宋体" w:eastAsia="宋体" w:cs="宋体"/>
                <w:sz w:val="21"/>
                <w:szCs w:val="21"/>
              </w:rPr>
            </w:pPr>
            <w:bookmarkStart w:id="0" w:name="_GoBack"/>
            <w:r>
              <w:rPr>
                <w:rFonts w:hint="eastAsia" w:ascii="宋体" w:hAnsi="宋体" w:eastAsia="宋体" w:cs="宋体"/>
                <w:sz w:val="21"/>
                <w:szCs w:val="21"/>
              </w:rPr>
              <w:t>查看《管理评审程序》，基本符合要求。</w:t>
            </w:r>
            <w:r>
              <w:rPr>
                <w:rFonts w:hint="eastAsia" w:ascii="宋体" w:hAnsi="宋体"/>
              </w:rPr>
              <w:t>20</w:t>
            </w:r>
            <w:r>
              <w:rPr>
                <w:rFonts w:hint="eastAsia" w:ascii="宋体" w:hAnsi="宋体"/>
                <w:lang w:val="en-US" w:eastAsia="zh-CN"/>
              </w:rPr>
              <w:t>21</w:t>
            </w:r>
            <w:r>
              <w:rPr>
                <w:rFonts w:hint="eastAsia" w:ascii="宋体" w:hAnsi="宋体"/>
              </w:rPr>
              <w:t>年</w:t>
            </w:r>
            <w:r>
              <w:rPr>
                <w:rFonts w:hint="eastAsia" w:ascii="宋体" w:hAnsi="宋体"/>
                <w:lang w:val="en-US" w:eastAsia="zh-CN"/>
              </w:rPr>
              <w:t>6</w:t>
            </w:r>
            <w:r>
              <w:rPr>
                <w:rFonts w:hint="eastAsia" w:ascii="宋体" w:hAnsi="宋体"/>
              </w:rPr>
              <w:t>月</w:t>
            </w:r>
            <w:r>
              <w:rPr>
                <w:rFonts w:hint="eastAsia" w:ascii="宋体" w:hAnsi="宋体"/>
                <w:lang w:val="en-US" w:eastAsia="zh-CN"/>
              </w:rPr>
              <w:t>15</w:t>
            </w:r>
            <w:r>
              <w:rPr>
                <w:rFonts w:hint="eastAsia" w:ascii="宋体" w:hAnsi="宋体"/>
              </w:rPr>
              <w:t>日</w:t>
            </w:r>
            <w:r>
              <w:rPr>
                <w:rFonts w:hint="eastAsia" w:ascii="宋体" w:hAnsi="宋体" w:eastAsia="宋体" w:cs="宋体"/>
                <w:sz w:val="21"/>
                <w:szCs w:val="21"/>
              </w:rPr>
              <w:t>进行了管理评审。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 “管理评审计划”，由王磊批准，内容包括；评审目的、评审时间、参加部门人员、评审输入内容等。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管理评审输入:</w:t>
            </w:r>
            <w:r>
              <w:rPr>
                <w:rFonts w:hint="eastAsia" w:ascii="宋体" w:hAnsi="宋体" w:cs="宋体"/>
                <w:szCs w:val="21"/>
              </w:rPr>
              <w:t>管理评审所采取的实施情况；与QEO体系有关的内、外部问题；有关QEO体系绩效和有效性的信息，包括下列趋势性信息：顾客满意和相关方有关信息交流反馈等；QEO目标的实现程度；过程绩效以及服务的符合性；不合格以及事件调查、纠正和预防措施的状况；监视和测量结果；内部审核的结果；外部供方的绩效。资源的充分性；应对风险和机遇所采取措施的有效性；相关方的需求和期望及合规义务的履约情况；QEO持续改进的机会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管理评审输出：</w:t>
            </w:r>
          </w:p>
          <w:p>
            <w:pPr>
              <w:spacing w:line="400" w:lineRule="atLeast"/>
              <w:ind w:left="594" w:leftChars="133" w:hanging="315" w:hangingChars="150"/>
              <w:rPr>
                <w:rFonts w:hint="eastAsia" w:ascii="宋体" w:hAnsi="宋体" w:eastAsia="宋体" w:cs="宋体"/>
                <w:sz w:val="21"/>
                <w:szCs w:val="21"/>
              </w:rPr>
            </w:pPr>
            <w:r>
              <w:rPr>
                <w:rFonts w:hint="eastAsia" w:ascii="宋体" w:hAnsi="宋体" w:eastAsia="宋体" w:cs="宋体"/>
                <w:sz w:val="21"/>
                <w:szCs w:val="21"/>
              </w:rPr>
              <w:t>查“管理评审报告”总经理王磊批准：</w:t>
            </w:r>
          </w:p>
          <w:p>
            <w:pPr>
              <w:spacing w:line="360" w:lineRule="auto"/>
              <w:ind w:firstLine="420" w:firstLineChars="200"/>
              <w:rPr>
                <w:rFonts w:hint="eastAsia" w:ascii="宋体" w:hAnsi="宋体" w:cs="宋体"/>
                <w:szCs w:val="21"/>
              </w:rPr>
            </w:pPr>
            <w:r>
              <w:rPr>
                <w:rFonts w:hint="eastAsia" w:ascii="宋体" w:hAnsi="宋体" w:cs="宋体"/>
                <w:szCs w:val="21"/>
              </w:rPr>
              <w:t>公司的质量、职业健康安全和环境管理体系、方针和目标符合目前状况，是适宜的、有效的、充分的，并与组织的战略方向保持一致</w:t>
            </w:r>
            <w:r>
              <w:rPr>
                <w:rFonts w:hint="eastAsia" w:ascii="宋体" w:hAnsi="宋体" w:cs="宋体"/>
                <w:szCs w:val="21"/>
                <w:lang w:eastAsia="zh-CN"/>
              </w:rPr>
              <w:t>；</w:t>
            </w:r>
            <w:r>
              <w:rPr>
                <w:rFonts w:hint="eastAsia" w:ascii="宋体" w:hAnsi="宋体" w:cs="宋体"/>
                <w:szCs w:val="21"/>
              </w:rPr>
              <w:t>内部审核的实施达到预期的目标，各部门应增强对其人员的监督和培训，满足管理体系对其的要求</w:t>
            </w:r>
            <w:r>
              <w:rPr>
                <w:rFonts w:hint="eastAsia" w:ascii="宋体" w:hAnsi="宋体" w:cs="宋体"/>
                <w:szCs w:val="21"/>
                <w:lang w:eastAsia="zh-CN"/>
              </w:rPr>
              <w:t>；</w:t>
            </w:r>
            <w:r>
              <w:rPr>
                <w:rFonts w:hint="eastAsia" w:ascii="宋体" w:hAnsi="宋体" w:cs="宋体"/>
                <w:szCs w:val="21"/>
              </w:rPr>
              <w:t>公司严格依据国家和行业规范作业，销售服务运行质量良好，顾客满意度较高</w:t>
            </w:r>
            <w:r>
              <w:rPr>
                <w:rFonts w:hint="eastAsia" w:ascii="宋体" w:hAnsi="宋体" w:cs="宋体"/>
                <w:szCs w:val="21"/>
                <w:lang w:eastAsia="zh-CN"/>
              </w:rPr>
              <w:t>；</w:t>
            </w:r>
            <w:r>
              <w:rPr>
                <w:rFonts w:hint="eastAsia" w:ascii="宋体" w:hAnsi="宋体" w:cs="宋体"/>
                <w:szCs w:val="21"/>
              </w:rPr>
              <w:t>行政部组织进行各级人员的培训，使其更明确程序的要求</w:t>
            </w:r>
            <w:r>
              <w:rPr>
                <w:rFonts w:hint="eastAsia" w:ascii="宋体" w:hAnsi="宋体" w:cs="宋体"/>
                <w:szCs w:val="21"/>
                <w:lang w:eastAsia="zh-CN"/>
              </w:rPr>
              <w:t>；</w:t>
            </w:r>
            <w:r>
              <w:rPr>
                <w:rFonts w:hint="eastAsia" w:ascii="宋体" w:hAnsi="宋体" w:cs="宋体"/>
                <w:szCs w:val="21"/>
              </w:rPr>
              <w:t>顾客、相关方的反馈意见通过沟通能够按照程序及时处理，纠正措施、预防措施的实施基本有效的避免类似问题的发生和再发生</w:t>
            </w:r>
            <w:r>
              <w:rPr>
                <w:rFonts w:hint="eastAsia" w:ascii="宋体" w:hAnsi="宋体" w:cs="宋体"/>
                <w:szCs w:val="21"/>
                <w:lang w:eastAsia="zh-CN"/>
              </w:rPr>
              <w:t>；</w:t>
            </w:r>
            <w:r>
              <w:rPr>
                <w:rFonts w:hint="eastAsia" w:ascii="宋体" w:hAnsi="宋体" w:cs="宋体"/>
                <w:szCs w:val="21"/>
              </w:rPr>
              <w:t>各部门在运行中基本遵守相关法律法规，按照要求对危险源和环境因素进行控制，事故、事件和不符合能够按照要求采取有效的整改措施</w:t>
            </w:r>
            <w:r>
              <w:rPr>
                <w:rFonts w:hint="eastAsia" w:ascii="宋体" w:hAnsi="宋体" w:cs="宋体"/>
                <w:szCs w:val="21"/>
                <w:lang w:eastAsia="zh-CN"/>
              </w:rPr>
              <w:t>；</w:t>
            </w:r>
            <w:r>
              <w:rPr>
                <w:rFonts w:hint="eastAsia" w:ascii="宋体" w:hAnsi="宋体" w:cs="宋体"/>
                <w:szCs w:val="21"/>
              </w:rPr>
              <w:t>对公司的风险和机遇进行了识别，制定了应对措施，经评价验证措施有效</w:t>
            </w:r>
            <w:r>
              <w:rPr>
                <w:rFonts w:hint="eastAsia" w:ascii="宋体" w:hAnsi="宋体" w:cs="宋体"/>
                <w:szCs w:val="21"/>
                <w:lang w:eastAsia="zh-CN"/>
              </w:rPr>
              <w:t>；</w:t>
            </w:r>
            <w:r>
              <w:rPr>
                <w:rFonts w:hint="eastAsia" w:ascii="宋体" w:hAnsi="宋体" w:cs="宋体"/>
                <w:szCs w:val="21"/>
              </w:rPr>
              <w:t>公司的资源基本能够满足体系运行的需要，根据公司的业务需求配备相应的人力和物资等资源</w:t>
            </w:r>
            <w:r>
              <w:rPr>
                <w:rFonts w:hint="eastAsia" w:ascii="宋体" w:hAnsi="宋体" w:cs="宋体"/>
                <w:szCs w:val="21"/>
                <w:lang w:eastAsia="zh-CN"/>
              </w:rPr>
              <w:t>；</w:t>
            </w:r>
            <w:r>
              <w:rPr>
                <w:rFonts w:hint="eastAsia" w:ascii="宋体" w:hAnsi="宋体" w:cs="宋体"/>
                <w:szCs w:val="21"/>
              </w:rPr>
              <w:t>管理体系经过评审无变更。</w:t>
            </w:r>
          </w:p>
          <w:p>
            <w:pPr>
              <w:spacing w:line="360" w:lineRule="auto"/>
              <w:rPr>
                <w:rFonts w:hint="eastAsia" w:ascii="宋体" w:hAnsi="宋体" w:cs="宋体"/>
                <w:szCs w:val="21"/>
              </w:rPr>
            </w:pPr>
            <w:r>
              <w:rPr>
                <w:rFonts w:hint="eastAsia" w:ascii="宋体" w:hAnsi="宋体" w:cs="宋体"/>
                <w:szCs w:val="21"/>
              </w:rPr>
              <w:t>改进要求：增加</w:t>
            </w:r>
            <w:r>
              <w:rPr>
                <w:rFonts w:hint="eastAsia" w:ascii="宋体" w:hAnsi="宋体" w:cs="宋体"/>
                <w:szCs w:val="21"/>
                <w:lang w:val="en-US" w:eastAsia="zh-CN"/>
              </w:rPr>
              <w:t>2</w:t>
            </w:r>
            <w:r>
              <w:rPr>
                <w:rFonts w:hint="eastAsia" w:ascii="宋体" w:hAnsi="宋体" w:cs="宋体"/>
                <w:szCs w:val="21"/>
              </w:rPr>
              <w:t>名</w:t>
            </w:r>
            <w:r>
              <w:rPr>
                <w:rFonts w:hint="eastAsia" w:ascii="宋体" w:hAnsi="宋体" w:cs="宋体"/>
                <w:szCs w:val="21"/>
                <w:lang w:val="en-US" w:eastAsia="zh-CN"/>
              </w:rPr>
              <w:t>技术</w:t>
            </w:r>
            <w:r>
              <w:rPr>
                <w:rFonts w:hint="eastAsia" w:ascii="宋体" w:hAnsi="宋体" w:cs="宋体"/>
                <w:szCs w:val="21"/>
              </w:rPr>
              <w:t>人员（由行政部实施，2021年</w:t>
            </w:r>
            <w:r>
              <w:rPr>
                <w:rFonts w:hint="eastAsia" w:ascii="宋体" w:hAnsi="宋体" w:cs="宋体"/>
                <w:szCs w:val="21"/>
                <w:lang w:val="en-US" w:eastAsia="zh-CN"/>
              </w:rPr>
              <w:t>12</w:t>
            </w:r>
            <w:r>
              <w:rPr>
                <w:rFonts w:hint="eastAsia" w:ascii="宋体" w:hAnsi="宋体" w:cs="宋体"/>
                <w:szCs w:val="21"/>
              </w:rPr>
              <w:t>月31日前完成）</w:t>
            </w:r>
          </w:p>
          <w:p>
            <w:pPr>
              <w:spacing w:line="360" w:lineRule="auto"/>
              <w:rPr>
                <w:rFonts w:hint="eastAsia" w:ascii="宋体" w:hAnsi="宋体" w:cs="宋体"/>
                <w:szCs w:val="21"/>
              </w:rPr>
            </w:pPr>
            <w:r>
              <w:rPr>
                <w:rFonts w:hint="eastAsia" w:ascii="宋体" w:hAnsi="宋体" w:cs="宋体"/>
                <w:szCs w:val="21"/>
              </w:rPr>
              <w:t>在实施中，查上次管理评审提出的改进措施已完成。</w:t>
            </w:r>
          </w:p>
          <w:p>
            <w:pPr>
              <w:pStyle w:val="5"/>
              <w:spacing w:line="360" w:lineRule="auto"/>
              <w:rPr>
                <w:rFonts w:hint="eastAsia" w:ascii="宋体" w:hAnsi="宋体" w:eastAsia="宋体" w:cs="宋体"/>
                <w:sz w:val="21"/>
                <w:szCs w:val="21"/>
              </w:rPr>
            </w:pPr>
            <w:r>
              <w:rPr>
                <w:rFonts w:hint="eastAsia" w:ascii="宋体" w:hAnsi="宋体" w:eastAsia="宋体" w:cs="宋体"/>
                <w:sz w:val="21"/>
                <w:szCs w:val="21"/>
              </w:rPr>
              <w:t>管理评审结论：</w:t>
            </w:r>
          </w:p>
          <w:p>
            <w:pPr>
              <w:pStyle w:val="5"/>
              <w:spacing w:line="360" w:lineRule="auto"/>
              <w:rPr>
                <w:rFonts w:hint="eastAsia" w:ascii="宋体" w:hAnsi="宋体" w:eastAsia="宋体" w:cs="宋体"/>
                <w:sz w:val="21"/>
                <w:szCs w:val="21"/>
              </w:rPr>
            </w:pPr>
            <w:r>
              <w:rPr>
                <w:rFonts w:hint="eastAsia" w:ascii="宋体" w:hAnsi="宋体" w:eastAsia="宋体" w:cs="宋体"/>
                <w:sz w:val="21"/>
                <w:szCs w:val="21"/>
              </w:rPr>
              <w:t>公司质量、环境和职业健康安全管理体系，从运行情况来看，公司的质量、环境和职业健康安全管理体系是持续适宜的、充分的和有效的，能满足公司经营、环境保护和职业健康安全管理的要求，并实施持续改进措施是有效的。</w:t>
            </w:r>
          </w:p>
          <w:p>
            <w:pPr>
              <w:pStyle w:val="5"/>
              <w:spacing w:line="360" w:lineRule="auto"/>
              <w:rPr>
                <w:rFonts w:hint="eastAsia" w:ascii="宋体" w:hAnsi="宋体" w:eastAsia="宋体" w:cs="宋体"/>
                <w:sz w:val="21"/>
                <w:szCs w:val="21"/>
              </w:rPr>
            </w:pPr>
            <w:r>
              <w:rPr>
                <w:rFonts w:hint="eastAsia" w:ascii="宋体" w:hAnsi="宋体" w:eastAsia="宋体" w:cs="宋体"/>
                <w:sz w:val="21"/>
                <w:szCs w:val="21"/>
              </w:rPr>
              <w:t>公司质量和环境和职业健康管理方针、目标得以实现且是适宜的，不必修改。</w:t>
            </w:r>
            <w:bookmarkEnd w:id="0"/>
          </w:p>
        </w:tc>
        <w:tc>
          <w:tcPr>
            <w:tcW w:w="646" w:type="dxa"/>
          </w:tcPr>
          <w:p>
            <w:pPr>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vAlign w:val="center"/>
          </w:tcPr>
          <w:p>
            <w:pPr>
              <w:spacing w:line="360" w:lineRule="auto"/>
              <w:rPr>
                <w:rFonts w:ascii="楷体" w:hAnsi="楷体" w:eastAsia="楷体"/>
                <w:sz w:val="24"/>
                <w:szCs w:val="24"/>
              </w:rPr>
            </w:pPr>
            <w:r>
              <w:rPr>
                <w:rFonts w:hint="eastAsia" w:ascii="楷体" w:hAnsi="楷体" w:eastAsia="楷体"/>
                <w:sz w:val="24"/>
                <w:szCs w:val="24"/>
              </w:rPr>
              <w:t>改进</w:t>
            </w:r>
          </w:p>
          <w:p>
            <w:pPr>
              <w:spacing w:line="360" w:lineRule="auto"/>
              <w:rPr>
                <w:rFonts w:ascii="楷体" w:hAnsi="楷体" w:eastAsia="楷体"/>
                <w:sz w:val="24"/>
                <w:szCs w:val="24"/>
              </w:rPr>
            </w:pPr>
          </w:p>
        </w:tc>
        <w:tc>
          <w:tcPr>
            <w:tcW w:w="1228" w:type="dxa"/>
            <w:vAlign w:val="center"/>
          </w:tcPr>
          <w:p>
            <w:pPr>
              <w:spacing w:line="360" w:lineRule="auto"/>
              <w:rPr>
                <w:rFonts w:ascii="楷体" w:hAnsi="楷体" w:eastAsia="楷体"/>
                <w:sz w:val="24"/>
                <w:szCs w:val="24"/>
              </w:rPr>
            </w:pPr>
            <w:r>
              <w:rPr>
                <w:rFonts w:hint="eastAsia" w:ascii="楷体" w:hAnsi="楷体" w:eastAsia="楷体"/>
                <w:sz w:val="24"/>
                <w:szCs w:val="24"/>
                <w:lang w:eastAsia="zh-CN"/>
              </w:rPr>
              <w:t>E/O：</w:t>
            </w:r>
            <w:r>
              <w:rPr>
                <w:rFonts w:hint="eastAsia" w:ascii="楷体" w:hAnsi="楷体" w:eastAsia="楷体"/>
                <w:sz w:val="24"/>
                <w:szCs w:val="24"/>
              </w:rPr>
              <w:t>10</w:t>
            </w:r>
          </w:p>
          <w:p>
            <w:pPr>
              <w:spacing w:line="360" w:lineRule="auto"/>
              <w:rPr>
                <w:rFonts w:ascii="楷体" w:hAnsi="楷体" w:eastAsia="楷体"/>
                <w:sz w:val="24"/>
                <w:szCs w:val="24"/>
              </w:rPr>
            </w:pPr>
          </w:p>
        </w:tc>
        <w:tc>
          <w:tcPr>
            <w:tcW w:w="10943" w:type="dxa"/>
            <w:vAlign w:val="center"/>
          </w:tcPr>
          <w:p>
            <w:pPr>
              <w:snapToGrid w:val="0"/>
              <w:spacing w:line="360" w:lineRule="auto"/>
              <w:ind w:firstLine="420" w:firstLineChars="200"/>
              <w:rPr>
                <w:rFonts w:ascii="楷体" w:hAnsi="楷体" w:eastAsia="楷体"/>
                <w:sz w:val="24"/>
                <w:szCs w:val="24"/>
              </w:rPr>
            </w:pPr>
            <w:r>
              <w:rPr>
                <w:rFonts w:hint="eastAsia" w:ascii="宋体" w:hAnsi="宋体" w:eastAsia="宋体" w:cs="宋体"/>
                <w:kern w:val="2"/>
                <w:sz w:val="21"/>
                <w:szCs w:val="21"/>
                <w:lang w:val="en-US" w:eastAsia="zh-CN" w:bidi="ar-SA"/>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提高，持续改进了管理体系的有效性。</w:t>
            </w:r>
          </w:p>
        </w:tc>
        <w:tc>
          <w:tcPr>
            <w:tcW w:w="646" w:type="dxa"/>
            <w:vAlign w:val="center"/>
          </w:tcPr>
          <w:p>
            <w:pPr>
              <w:spacing w:line="360" w:lineRule="auto"/>
              <w:rPr>
                <w:rFonts w:ascii="楷体" w:hAnsi="楷体" w:eastAsia="楷体"/>
                <w:sz w:val="24"/>
                <w:szCs w:val="24"/>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vAlign w:val="center"/>
          </w:tcPr>
          <w:p>
            <w:pPr>
              <w:spacing w:line="360" w:lineRule="auto"/>
              <w:rPr>
                <w:rFonts w:ascii="楷体" w:hAnsi="楷体" w:eastAsia="楷体"/>
                <w:sz w:val="24"/>
                <w:szCs w:val="24"/>
              </w:rPr>
            </w:pPr>
            <w:r>
              <w:rPr>
                <w:rFonts w:hint="eastAsia" w:ascii="楷体" w:hAnsi="楷体" w:eastAsia="楷体"/>
                <w:sz w:val="24"/>
                <w:szCs w:val="24"/>
              </w:rPr>
              <w:t>体系变更</w:t>
            </w:r>
          </w:p>
        </w:tc>
        <w:tc>
          <w:tcPr>
            <w:tcW w:w="1228" w:type="dxa"/>
            <w:vAlign w:val="center"/>
          </w:tcPr>
          <w:p>
            <w:pPr>
              <w:spacing w:line="360" w:lineRule="auto"/>
              <w:rPr>
                <w:rFonts w:ascii="楷体" w:hAnsi="楷体" w:eastAsia="楷体"/>
                <w:sz w:val="24"/>
                <w:szCs w:val="24"/>
              </w:rPr>
            </w:pPr>
          </w:p>
        </w:tc>
        <w:tc>
          <w:tcPr>
            <w:tcW w:w="10943" w:type="dxa"/>
            <w:vAlign w:val="center"/>
          </w:tcPr>
          <w:p>
            <w:pPr>
              <w:pStyle w:val="5"/>
              <w:spacing w:line="360" w:lineRule="auto"/>
              <w:rPr>
                <w:rFonts w:hint="eastAsia" w:ascii="宋体" w:hAnsi="宋体" w:eastAsia="宋体" w:cs="宋体"/>
                <w:sz w:val="21"/>
                <w:szCs w:val="21"/>
              </w:rPr>
            </w:pPr>
            <w:r>
              <w:rPr>
                <w:rFonts w:hint="eastAsia" w:ascii="宋体" w:hAnsi="宋体" w:eastAsia="宋体" w:cs="宋体"/>
                <w:sz w:val="21"/>
                <w:szCs w:val="21"/>
              </w:rPr>
              <w:t>未发生。</w:t>
            </w:r>
          </w:p>
        </w:tc>
        <w:tc>
          <w:tcPr>
            <w:tcW w:w="646" w:type="dxa"/>
            <w:vAlign w:val="center"/>
          </w:tcPr>
          <w:p>
            <w:pPr>
              <w:spacing w:line="360" w:lineRule="auto"/>
              <w:rPr>
                <w:rFonts w:ascii="楷体" w:hAnsi="楷体" w:eastAsia="楷体"/>
                <w:sz w:val="24"/>
                <w:szCs w:val="24"/>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tcPr>
          <w:p>
            <w:pPr>
              <w:spacing w:line="360" w:lineRule="auto"/>
              <w:rPr>
                <w:rFonts w:ascii="楷体" w:hAnsi="楷体" w:eastAsia="楷体"/>
                <w:sz w:val="24"/>
                <w:szCs w:val="24"/>
              </w:rPr>
            </w:pPr>
            <w:r>
              <w:rPr>
                <w:rFonts w:hint="eastAsia" w:ascii="楷体" w:hAnsi="楷体" w:eastAsia="楷体"/>
                <w:sz w:val="24"/>
                <w:szCs w:val="24"/>
              </w:rPr>
              <w:t>国家/地方抽查、顾客满意、相关方投诉处理</w:t>
            </w:r>
          </w:p>
        </w:tc>
        <w:tc>
          <w:tcPr>
            <w:tcW w:w="1228" w:type="dxa"/>
          </w:tcPr>
          <w:p>
            <w:pPr>
              <w:spacing w:line="360" w:lineRule="auto"/>
              <w:rPr>
                <w:rFonts w:ascii="楷体" w:hAnsi="楷体" w:eastAsia="楷体"/>
                <w:sz w:val="24"/>
                <w:szCs w:val="24"/>
              </w:rPr>
            </w:pPr>
          </w:p>
        </w:tc>
        <w:tc>
          <w:tcPr>
            <w:tcW w:w="10943" w:type="dxa"/>
          </w:tcPr>
          <w:p>
            <w:pPr>
              <w:pStyle w:val="5"/>
              <w:spacing w:line="360" w:lineRule="auto"/>
              <w:rPr>
                <w:rFonts w:hint="eastAsia" w:ascii="宋体" w:hAnsi="宋体" w:eastAsia="宋体" w:cs="宋体"/>
                <w:sz w:val="21"/>
                <w:szCs w:val="21"/>
              </w:rPr>
            </w:pPr>
            <w:r>
              <w:rPr>
                <w:rFonts w:hint="eastAsia" w:ascii="宋体" w:hAnsi="宋体" w:eastAsia="宋体" w:cs="宋体"/>
                <w:sz w:val="21"/>
                <w:szCs w:val="21"/>
              </w:rPr>
              <w:t>自公司成立以来，未受到上级主管部门有关质量问题、环境问题、职业健康安全的行政处罚。未发生相关方的投诉。暂时没有国家/地方抽查情况。</w:t>
            </w:r>
          </w:p>
          <w:p>
            <w:pPr>
              <w:pStyle w:val="5"/>
              <w:spacing w:line="360" w:lineRule="auto"/>
              <w:rPr>
                <w:rFonts w:hint="eastAsia" w:ascii="宋体" w:hAnsi="宋体" w:eastAsia="宋体" w:cs="宋体"/>
                <w:sz w:val="21"/>
                <w:szCs w:val="21"/>
              </w:rPr>
            </w:pPr>
            <w:r>
              <w:rPr>
                <w:rFonts w:hint="eastAsia" w:ascii="宋体" w:hAnsi="宋体" w:eastAsia="宋体" w:cs="宋体"/>
                <w:sz w:val="21"/>
                <w:szCs w:val="21"/>
              </w:rPr>
              <w:t>体系运行至今暂未收到过顾客投诉情况，日常顾客反馈都是一些小问题已及时处理，顾客较满意。</w:t>
            </w:r>
          </w:p>
        </w:tc>
        <w:tc>
          <w:tcPr>
            <w:tcW w:w="646" w:type="dxa"/>
            <w:vAlign w:val="center"/>
          </w:tcPr>
          <w:p>
            <w:pPr>
              <w:spacing w:line="360" w:lineRule="auto"/>
              <w:rPr>
                <w:rFonts w:ascii="楷体" w:hAnsi="楷体" w:eastAsia="楷体"/>
                <w:sz w:val="24"/>
                <w:szCs w:val="24"/>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tcPr>
          <w:p>
            <w:pPr>
              <w:spacing w:line="360" w:lineRule="auto"/>
              <w:rPr>
                <w:rFonts w:ascii="楷体" w:hAnsi="楷体" w:eastAsia="楷体"/>
                <w:sz w:val="24"/>
                <w:szCs w:val="24"/>
              </w:rPr>
            </w:pPr>
            <w:r>
              <w:rPr>
                <w:rFonts w:hint="eastAsia" w:ascii="楷体" w:hAnsi="楷体" w:eastAsia="楷体"/>
                <w:sz w:val="24"/>
                <w:szCs w:val="24"/>
              </w:rPr>
              <w:t>上次审核不符合验证</w:t>
            </w:r>
          </w:p>
        </w:tc>
        <w:tc>
          <w:tcPr>
            <w:tcW w:w="1228" w:type="dxa"/>
          </w:tcPr>
          <w:p>
            <w:pPr>
              <w:spacing w:line="360" w:lineRule="auto"/>
              <w:rPr>
                <w:rFonts w:ascii="楷体" w:hAnsi="楷体" w:eastAsia="楷体"/>
                <w:sz w:val="24"/>
                <w:szCs w:val="24"/>
              </w:rPr>
            </w:pPr>
          </w:p>
        </w:tc>
        <w:tc>
          <w:tcPr>
            <w:tcW w:w="10943" w:type="dxa"/>
          </w:tcPr>
          <w:p>
            <w:pPr>
              <w:pStyle w:val="5"/>
              <w:spacing w:line="360" w:lineRule="auto"/>
              <w:rPr>
                <w:rFonts w:hint="eastAsia" w:ascii="宋体" w:hAnsi="宋体" w:eastAsia="宋体" w:cs="宋体"/>
                <w:sz w:val="21"/>
                <w:szCs w:val="21"/>
              </w:rPr>
            </w:pPr>
            <w:r>
              <w:rPr>
                <w:rFonts w:hint="eastAsia" w:ascii="宋体" w:hAnsi="宋体" w:eastAsia="宋体" w:cs="宋体"/>
                <w:sz w:val="21"/>
                <w:szCs w:val="21"/>
              </w:rPr>
              <w:t>经检查上次审核发现的不符合项（ES</w:t>
            </w:r>
            <w:r>
              <w:rPr>
                <w:rFonts w:hint="eastAsia" w:ascii="宋体" w:hAnsi="宋体" w:eastAsia="宋体" w:cs="宋体"/>
                <w:sz w:val="21"/>
                <w:szCs w:val="21"/>
                <w:lang w:val="en-US" w:eastAsia="zh-CN"/>
              </w:rPr>
              <w:t>6.1.3</w:t>
            </w:r>
            <w:r>
              <w:rPr>
                <w:rFonts w:hint="eastAsia" w:ascii="宋体" w:hAnsi="宋体" w:eastAsia="宋体" w:cs="宋体"/>
                <w:sz w:val="21"/>
                <w:szCs w:val="21"/>
              </w:rPr>
              <w:t>.条款）已整改完成。</w:t>
            </w:r>
          </w:p>
        </w:tc>
        <w:tc>
          <w:tcPr>
            <w:tcW w:w="646" w:type="dxa"/>
            <w:vAlign w:val="center"/>
          </w:tcPr>
          <w:p>
            <w:pPr>
              <w:spacing w:line="360" w:lineRule="auto"/>
              <w:rPr>
                <w:rFonts w:ascii="楷体" w:hAnsi="楷体" w:eastAsia="楷体"/>
                <w:sz w:val="24"/>
                <w:szCs w:val="24"/>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tcPr>
          <w:p>
            <w:pPr>
              <w:spacing w:line="360" w:lineRule="auto"/>
              <w:rPr>
                <w:rFonts w:ascii="楷体" w:hAnsi="楷体" w:eastAsia="楷体"/>
                <w:sz w:val="24"/>
                <w:szCs w:val="24"/>
              </w:rPr>
            </w:pPr>
            <w:r>
              <w:rPr>
                <w:rFonts w:hint="eastAsia" w:ascii="楷体" w:hAnsi="楷体" w:eastAsia="楷体"/>
                <w:sz w:val="24"/>
                <w:szCs w:val="24"/>
              </w:rPr>
              <w:t>证书、标志使用</w:t>
            </w:r>
          </w:p>
        </w:tc>
        <w:tc>
          <w:tcPr>
            <w:tcW w:w="1228" w:type="dxa"/>
          </w:tcPr>
          <w:p>
            <w:pPr>
              <w:spacing w:line="360" w:lineRule="auto"/>
              <w:rPr>
                <w:rFonts w:ascii="楷体" w:hAnsi="楷体" w:eastAsia="楷体"/>
                <w:sz w:val="24"/>
                <w:szCs w:val="24"/>
              </w:rPr>
            </w:pPr>
          </w:p>
        </w:tc>
        <w:tc>
          <w:tcPr>
            <w:tcW w:w="10943" w:type="dxa"/>
          </w:tcPr>
          <w:p>
            <w:pPr>
              <w:pStyle w:val="5"/>
              <w:spacing w:line="360" w:lineRule="auto"/>
              <w:rPr>
                <w:rFonts w:hint="eastAsia" w:ascii="宋体" w:hAnsi="宋体" w:eastAsia="宋体" w:cs="宋体"/>
                <w:sz w:val="21"/>
                <w:szCs w:val="21"/>
              </w:rPr>
            </w:pPr>
            <w:r>
              <w:rPr>
                <w:rFonts w:hint="eastAsia" w:ascii="宋体" w:hAnsi="宋体" w:eastAsia="宋体" w:cs="宋体"/>
                <w:sz w:val="21"/>
                <w:szCs w:val="21"/>
              </w:rPr>
              <w:t>在招投标和业务洽谈时出示认证证书，未使用认证标志。</w:t>
            </w:r>
          </w:p>
        </w:tc>
        <w:tc>
          <w:tcPr>
            <w:tcW w:w="646" w:type="dxa"/>
            <w:vAlign w:val="center"/>
          </w:tcPr>
          <w:p>
            <w:pPr>
              <w:spacing w:line="360" w:lineRule="auto"/>
              <w:rPr>
                <w:rFonts w:ascii="楷体" w:hAnsi="楷体" w:eastAsia="楷体"/>
                <w:sz w:val="24"/>
                <w:szCs w:val="24"/>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92" w:type="dxa"/>
          </w:tcPr>
          <w:p>
            <w:pPr>
              <w:spacing w:line="360" w:lineRule="auto"/>
              <w:rPr>
                <w:rFonts w:ascii="楷体" w:hAnsi="楷体" w:eastAsia="楷体" w:cs="宋体"/>
                <w:sz w:val="24"/>
                <w:szCs w:val="24"/>
              </w:rPr>
            </w:pPr>
            <w:r>
              <w:rPr>
                <w:rFonts w:ascii="楷体" w:hAnsi="楷体" w:eastAsia="楷体" w:cs="宋体"/>
                <w:sz w:val="24"/>
                <w:szCs w:val="24"/>
              </w:rPr>
              <w:t>资质</w:t>
            </w:r>
          </w:p>
        </w:tc>
        <w:tc>
          <w:tcPr>
            <w:tcW w:w="1228" w:type="dxa"/>
          </w:tcPr>
          <w:p>
            <w:pPr>
              <w:spacing w:line="360" w:lineRule="auto"/>
              <w:rPr>
                <w:rFonts w:ascii="楷体" w:hAnsi="楷体" w:eastAsia="楷体" w:cs="宋体"/>
                <w:sz w:val="24"/>
                <w:szCs w:val="24"/>
              </w:rPr>
            </w:pPr>
          </w:p>
        </w:tc>
        <w:tc>
          <w:tcPr>
            <w:tcW w:w="10943" w:type="dxa"/>
            <w:vAlign w:val="center"/>
          </w:tcPr>
          <w:p>
            <w:pPr>
              <w:pStyle w:val="5"/>
              <w:spacing w:line="360" w:lineRule="auto"/>
              <w:rPr>
                <w:rFonts w:hint="eastAsia" w:ascii="宋体" w:hAnsi="宋体" w:eastAsia="宋体" w:cs="宋体"/>
                <w:sz w:val="21"/>
                <w:szCs w:val="21"/>
              </w:rPr>
            </w:pPr>
            <w:r>
              <w:rPr>
                <w:rFonts w:hint="eastAsia" w:ascii="宋体" w:hAnsi="宋体" w:eastAsia="宋体" w:cs="宋体"/>
                <w:sz w:val="21"/>
                <w:szCs w:val="21"/>
              </w:rPr>
              <w:t>查到营业执照，有效。</w:t>
            </w:r>
          </w:p>
        </w:tc>
        <w:tc>
          <w:tcPr>
            <w:tcW w:w="646" w:type="dxa"/>
          </w:tcPr>
          <w:p>
            <w:pPr>
              <w:spacing w:line="360" w:lineRule="auto"/>
              <w:rPr>
                <w:rFonts w:ascii="楷体" w:hAnsi="楷体" w:eastAsia="楷体" w:cs="宋体"/>
                <w:sz w:val="24"/>
                <w:szCs w:val="24"/>
              </w:rPr>
            </w:pPr>
            <w:r>
              <w:rPr>
                <w:rFonts w:hint="eastAsia" w:ascii="楷体" w:hAnsi="楷体" w:eastAsia="楷体"/>
                <w:sz w:val="24"/>
                <w:szCs w:val="24"/>
                <w:lang w:val="en-US" w:eastAsia="zh-CN"/>
              </w:rPr>
              <w:t>Y</w:t>
            </w:r>
          </w:p>
        </w:tc>
      </w:tr>
    </w:tbl>
    <w:p>
      <w:pPr>
        <w:spacing w:line="360" w:lineRule="auto"/>
        <w:rPr>
          <w:rFonts w:ascii="楷体" w:hAnsi="楷体" w:eastAsia="楷体"/>
          <w:sz w:val="24"/>
          <w:szCs w:val="24"/>
        </w:rPr>
      </w:pPr>
    </w:p>
    <w:p>
      <w:pPr>
        <w:pStyle w:val="8"/>
        <w:spacing w:line="360" w:lineRule="auto"/>
        <w:rPr>
          <w:rFonts w:ascii="楷体" w:hAnsi="楷体" w:eastAsia="楷体"/>
          <w:sz w:val="24"/>
          <w:szCs w:val="24"/>
        </w:rPr>
      </w:pPr>
      <w:r>
        <w:rPr>
          <w:rFonts w:hint="eastAsia" w:ascii="楷体" w:hAnsi="楷体" w:eastAsia="楷体"/>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9"/>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7717"/>
    <w:rsid w:val="00066B90"/>
    <w:rsid w:val="000954A0"/>
    <w:rsid w:val="000C520C"/>
    <w:rsid w:val="000C6DD5"/>
    <w:rsid w:val="000E15CA"/>
    <w:rsid w:val="000E59F3"/>
    <w:rsid w:val="00100B9F"/>
    <w:rsid w:val="00101CE9"/>
    <w:rsid w:val="0015137E"/>
    <w:rsid w:val="00152D7C"/>
    <w:rsid w:val="00191322"/>
    <w:rsid w:val="001A2D7F"/>
    <w:rsid w:val="001B387B"/>
    <w:rsid w:val="001B3D1B"/>
    <w:rsid w:val="001C4381"/>
    <w:rsid w:val="001C5D0F"/>
    <w:rsid w:val="00226588"/>
    <w:rsid w:val="00236E67"/>
    <w:rsid w:val="002458E8"/>
    <w:rsid w:val="00254A52"/>
    <w:rsid w:val="00257733"/>
    <w:rsid w:val="0028511B"/>
    <w:rsid w:val="002A3A34"/>
    <w:rsid w:val="002B13EE"/>
    <w:rsid w:val="002E5A46"/>
    <w:rsid w:val="002F0939"/>
    <w:rsid w:val="002F4962"/>
    <w:rsid w:val="00304675"/>
    <w:rsid w:val="00321DA4"/>
    <w:rsid w:val="00337922"/>
    <w:rsid w:val="00340867"/>
    <w:rsid w:val="00352374"/>
    <w:rsid w:val="00380837"/>
    <w:rsid w:val="00383A3B"/>
    <w:rsid w:val="003A198A"/>
    <w:rsid w:val="003A5212"/>
    <w:rsid w:val="003C1EC7"/>
    <w:rsid w:val="003D31EA"/>
    <w:rsid w:val="003F2D46"/>
    <w:rsid w:val="004053E4"/>
    <w:rsid w:val="00410914"/>
    <w:rsid w:val="00412139"/>
    <w:rsid w:val="00470E52"/>
    <w:rsid w:val="00473397"/>
    <w:rsid w:val="004B70E9"/>
    <w:rsid w:val="004C094F"/>
    <w:rsid w:val="004D20F2"/>
    <w:rsid w:val="004F06BF"/>
    <w:rsid w:val="004F3FCD"/>
    <w:rsid w:val="004F4F4E"/>
    <w:rsid w:val="004F6F4E"/>
    <w:rsid w:val="004F7166"/>
    <w:rsid w:val="00501C7B"/>
    <w:rsid w:val="005205B9"/>
    <w:rsid w:val="00530F99"/>
    <w:rsid w:val="00535976"/>
    <w:rsid w:val="00536930"/>
    <w:rsid w:val="00545166"/>
    <w:rsid w:val="00545695"/>
    <w:rsid w:val="005524D9"/>
    <w:rsid w:val="00560424"/>
    <w:rsid w:val="005639BB"/>
    <w:rsid w:val="00564E53"/>
    <w:rsid w:val="005A5B57"/>
    <w:rsid w:val="005B15E3"/>
    <w:rsid w:val="005B1F58"/>
    <w:rsid w:val="005C7536"/>
    <w:rsid w:val="005F275B"/>
    <w:rsid w:val="005F4A2B"/>
    <w:rsid w:val="00604130"/>
    <w:rsid w:val="006045A7"/>
    <w:rsid w:val="00606B4A"/>
    <w:rsid w:val="00622106"/>
    <w:rsid w:val="00636EE2"/>
    <w:rsid w:val="00644FE2"/>
    <w:rsid w:val="0066053F"/>
    <w:rsid w:val="00672E1E"/>
    <w:rsid w:val="0067640C"/>
    <w:rsid w:val="00685834"/>
    <w:rsid w:val="006A2473"/>
    <w:rsid w:val="006C18D7"/>
    <w:rsid w:val="006C70FD"/>
    <w:rsid w:val="006C78A7"/>
    <w:rsid w:val="006E408B"/>
    <w:rsid w:val="006E678B"/>
    <w:rsid w:val="006F5069"/>
    <w:rsid w:val="0070257C"/>
    <w:rsid w:val="00702CFE"/>
    <w:rsid w:val="00710683"/>
    <w:rsid w:val="00741B09"/>
    <w:rsid w:val="00751363"/>
    <w:rsid w:val="007618BC"/>
    <w:rsid w:val="00764208"/>
    <w:rsid w:val="007757F3"/>
    <w:rsid w:val="0077650F"/>
    <w:rsid w:val="0078463E"/>
    <w:rsid w:val="00787A18"/>
    <w:rsid w:val="00794692"/>
    <w:rsid w:val="007A0A8A"/>
    <w:rsid w:val="007A440B"/>
    <w:rsid w:val="007C0A73"/>
    <w:rsid w:val="007D6842"/>
    <w:rsid w:val="007E3722"/>
    <w:rsid w:val="007E6AEB"/>
    <w:rsid w:val="00801ED3"/>
    <w:rsid w:val="00847581"/>
    <w:rsid w:val="0087291F"/>
    <w:rsid w:val="008812C2"/>
    <w:rsid w:val="0088298C"/>
    <w:rsid w:val="00887F07"/>
    <w:rsid w:val="0089678F"/>
    <w:rsid w:val="00896F02"/>
    <w:rsid w:val="008973EE"/>
    <w:rsid w:val="008D5AF0"/>
    <w:rsid w:val="008E1051"/>
    <w:rsid w:val="00914EF5"/>
    <w:rsid w:val="00920DF5"/>
    <w:rsid w:val="00953ABC"/>
    <w:rsid w:val="009715D3"/>
    <w:rsid w:val="00971600"/>
    <w:rsid w:val="00975DC5"/>
    <w:rsid w:val="00985106"/>
    <w:rsid w:val="00986165"/>
    <w:rsid w:val="009973B4"/>
    <w:rsid w:val="009A2DE9"/>
    <w:rsid w:val="009C28C1"/>
    <w:rsid w:val="009D650C"/>
    <w:rsid w:val="009E228B"/>
    <w:rsid w:val="009F4323"/>
    <w:rsid w:val="009F7EED"/>
    <w:rsid w:val="00A34FB9"/>
    <w:rsid w:val="00A45F66"/>
    <w:rsid w:val="00A4670F"/>
    <w:rsid w:val="00A513C4"/>
    <w:rsid w:val="00A6388E"/>
    <w:rsid w:val="00A70DDE"/>
    <w:rsid w:val="00A74BF9"/>
    <w:rsid w:val="00A75BCE"/>
    <w:rsid w:val="00AA1650"/>
    <w:rsid w:val="00AA2FF1"/>
    <w:rsid w:val="00AA3677"/>
    <w:rsid w:val="00AB018A"/>
    <w:rsid w:val="00AB52A3"/>
    <w:rsid w:val="00AC5004"/>
    <w:rsid w:val="00AD30DF"/>
    <w:rsid w:val="00AD4EE4"/>
    <w:rsid w:val="00AE30C9"/>
    <w:rsid w:val="00AE424B"/>
    <w:rsid w:val="00AF0AAB"/>
    <w:rsid w:val="00AF6D4E"/>
    <w:rsid w:val="00B101F3"/>
    <w:rsid w:val="00B21E48"/>
    <w:rsid w:val="00B24DBB"/>
    <w:rsid w:val="00B30AEF"/>
    <w:rsid w:val="00B35E9F"/>
    <w:rsid w:val="00B63FEF"/>
    <w:rsid w:val="00B92F44"/>
    <w:rsid w:val="00B94F94"/>
    <w:rsid w:val="00BC37A5"/>
    <w:rsid w:val="00BE3F2A"/>
    <w:rsid w:val="00BF4745"/>
    <w:rsid w:val="00BF597E"/>
    <w:rsid w:val="00C05173"/>
    <w:rsid w:val="00C077BA"/>
    <w:rsid w:val="00C32659"/>
    <w:rsid w:val="00C51969"/>
    <w:rsid w:val="00C51A36"/>
    <w:rsid w:val="00C55228"/>
    <w:rsid w:val="00C848C0"/>
    <w:rsid w:val="00C9337F"/>
    <w:rsid w:val="00C95074"/>
    <w:rsid w:val="00CC2489"/>
    <w:rsid w:val="00CD6690"/>
    <w:rsid w:val="00CE315A"/>
    <w:rsid w:val="00D06F59"/>
    <w:rsid w:val="00D21498"/>
    <w:rsid w:val="00D5656D"/>
    <w:rsid w:val="00D640CE"/>
    <w:rsid w:val="00D67AE4"/>
    <w:rsid w:val="00D8388C"/>
    <w:rsid w:val="00D92952"/>
    <w:rsid w:val="00DA2F95"/>
    <w:rsid w:val="00DA2FB1"/>
    <w:rsid w:val="00DB1A29"/>
    <w:rsid w:val="00DC5B16"/>
    <w:rsid w:val="00DD5C14"/>
    <w:rsid w:val="00DF4E8F"/>
    <w:rsid w:val="00E21F9E"/>
    <w:rsid w:val="00E35A82"/>
    <w:rsid w:val="00E4396D"/>
    <w:rsid w:val="00E459AE"/>
    <w:rsid w:val="00E5485A"/>
    <w:rsid w:val="00E82679"/>
    <w:rsid w:val="00EB0164"/>
    <w:rsid w:val="00ED0F62"/>
    <w:rsid w:val="00EE1AE7"/>
    <w:rsid w:val="00F006EF"/>
    <w:rsid w:val="00F00E0E"/>
    <w:rsid w:val="00F57C01"/>
    <w:rsid w:val="00F63B46"/>
    <w:rsid w:val="00FC354E"/>
    <w:rsid w:val="00FE0A5E"/>
    <w:rsid w:val="00FE233B"/>
    <w:rsid w:val="00FF1B06"/>
    <w:rsid w:val="00FF358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0E389E"/>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A174407"/>
    <w:rsid w:val="3B115DC4"/>
    <w:rsid w:val="3B227900"/>
    <w:rsid w:val="3DB575F2"/>
    <w:rsid w:val="3FE4412B"/>
    <w:rsid w:val="3FEA7233"/>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625705"/>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6566A64"/>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035083"/>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unhideWhenUsed/>
    <w:qFormat/>
    <w:uiPriority w:val="99"/>
    <w:pPr>
      <w:spacing w:line="420" w:lineRule="exact"/>
    </w:pPr>
    <w:rPr>
      <w:sz w:val="24"/>
    </w:rPr>
  </w:style>
  <w:style w:type="paragraph" w:styleId="6">
    <w:name w:val="Body Text Indent"/>
    <w:basedOn w:val="1"/>
    <w:qFormat/>
    <w:uiPriority w:val="0"/>
    <w:pPr>
      <w:ind w:firstLine="480" w:firstLineChars="200"/>
    </w:pPr>
    <w:rPr>
      <w:sz w:val="24"/>
    </w:rPr>
  </w:style>
  <w:style w:type="paragraph" w:styleId="7">
    <w:name w:val="Balloon Text"/>
    <w:basedOn w:val="1"/>
    <w:link w:val="14"/>
    <w:semiHidden/>
    <w:unhideWhenUsed/>
    <w:qFormat/>
    <w:uiPriority w:val="99"/>
    <w:rPr>
      <w:sz w:val="18"/>
      <w:szCs w:val="18"/>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11"/>
    <w:link w:val="9"/>
    <w:qFormat/>
    <w:uiPriority w:val="99"/>
    <w:rPr>
      <w:rFonts w:ascii="Times New Roman" w:hAnsi="Times New Roman" w:eastAsia="宋体" w:cs="Times New Roman"/>
      <w:sz w:val="18"/>
      <w:szCs w:val="18"/>
    </w:rPr>
  </w:style>
  <w:style w:type="character" w:customStyle="1" w:styleId="13">
    <w:name w:val="页脚 Char"/>
    <w:basedOn w:val="11"/>
    <w:link w:val="8"/>
    <w:qFormat/>
    <w:uiPriority w:val="99"/>
    <w:rPr>
      <w:rFonts w:ascii="Times New Roman" w:hAnsi="Times New Roman" w:eastAsia="宋体" w:cs="Times New Roman"/>
      <w:sz w:val="18"/>
      <w:szCs w:val="18"/>
    </w:rPr>
  </w:style>
  <w:style w:type="character" w:customStyle="1" w:styleId="14">
    <w:name w:val="批注框文本 Char"/>
    <w:basedOn w:val="11"/>
    <w:link w:val="7"/>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1036</Words>
  <Characters>5906</Characters>
  <Lines>49</Lines>
  <Paragraphs>13</Paragraphs>
  <TotalTime>3</TotalTime>
  <ScaleCrop>false</ScaleCrop>
  <LinksUpToDate>false</LinksUpToDate>
  <CharactersWithSpaces>6929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2021-07-08T03:37:19Z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932B1275AA104C51AB39E38E9F6C9C37</vt:lpwstr>
  </property>
</Properties>
</file>